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6A2C91"/>
          <w:sz w:val="18"/>
          <w:szCs w:val="18"/>
        </w:rPr>
        <w:t xml:space="preserve">ESTRATEGIA DE SERVICIO · CAMINAMOS JUNTOS 360°</w:t>
      </w:r>
    </w:p>
    <w:p>
      <w:pPr>
        <w:spacing w:after="60"/>
      </w:pPr>
      <w:r>
        <w:rPr>
          <w:rFonts w:ascii="Calibri" w:cs="Calibri" w:eastAsia="Calibri" w:hAnsi="Calibri"/>
          <w:b/>
          <w:bCs/>
          <w:color w:val="1B2A4A"/>
          <w:sz w:val="36"/>
          <w:szCs w:val="36"/>
        </w:rPr>
        <w:t xml:space="preserve">Protocolo de despliegue comunicacional</w:t>
      </w:r>
    </w:p>
    <w:p>
      <w:pPr>
        <w:spacing w:after="240"/>
      </w:pPr>
      <w:r>
        <w:rPr>
          <w:rFonts w:ascii="Calibri" w:cs="Calibri" w:eastAsia="Calibri" w:hAnsi="Calibri"/>
          <w:i/>
          <w:iCs/>
          <w:color w:val="F5821F"/>
          <w:sz w:val="22"/>
          <w:szCs w:val="22"/>
        </w:rPr>
        <w:t xml:space="preserve">Brief de trabajo para el equipo de Comunicaciones · Lanzamiento institucional en septiembre · BONI como guía del recorrido</w:t>
      </w:r>
    </w:p>
    <w:p>
      <w:pPr>
        <w:pStyle w:val="Heading1"/>
        <w:pBdr>
          <w:bottom w:val="single" w:color="F5821F" w:sz="12" w:space="4"/>
        </w:pBdr>
        <w:spacing w:after="120" w:before="320"/>
      </w:pPr>
      <w:r>
        <w:rPr>
          <w:rFonts w:ascii="Calibri" w:cs="Calibri" w:eastAsia="Calibri" w:hAnsi="Calibri"/>
          <w:b/>
          <w:bCs/>
          <w:color w:val="1B2A4A"/>
          <w:sz w:val="26"/>
          <w:szCs w:val="26"/>
        </w:rPr>
        <w:t xml:space="preserve">1. Punto de partida</w:t>
      </w:r>
    </w:p>
    <w:p>
      <w:pPr>
        <w:spacing w:after="90"/>
      </w:pPr>
      <w:r>
        <w:rPr>
          <w:rFonts w:ascii="Calibri" w:cs="Calibri" w:eastAsia="Calibri" w:hAnsi="Calibri"/>
          <w:b w:val="false"/>
          <w:bCs w:val="false"/>
          <w:i w:val="false"/>
          <w:iCs w:val="false"/>
          <w:color w:val="333333"/>
          <w:sz w:val="20"/>
          <w:szCs w:val="20"/>
        </w:rPr>
        <w:t xml:space="preserve">Este documento consolida y reemplaza las notas de trabajo construidas con ChatGPT: aquí se nombran, explican y mejoran los canales, sus criterios de uso, la promesa de servicio, el manejo del servicio no conforme y el rol de BONI. Es la versión de referencia para trabajar con Comunicaciones.</w:t>
      </w:r>
    </w:p>
    <w:p>
      <w:pPr>
        <w:spacing w:after="90"/>
      </w:pPr>
      <w:r>
        <w:rPr>
          <w:rFonts w:ascii="Calibri" w:cs="Calibri" w:eastAsia="Calibri" w:hAnsi="Calibri"/>
          <w:b w:val="false"/>
          <w:bCs w:val="false"/>
          <w:i/>
          <w:iCs/>
          <w:color w:val="333333"/>
          <w:sz w:val="20"/>
          <w:szCs w:val="20"/>
        </w:rPr>
        <w:t xml:space="preserve">Este es un lanzamiento institucional: habla en general de la estrategia, no de procedimientos específicos por unidad o dependencia — esos ya están caracterizados y viven en el archivo de criterios por canal. Lo que necesita Comunicaciones aquí es: qué pretende cada canal, qué evitar en general, cómo invita BONI a usarlos, y el compromiso de toda la Universidad con el buen uso de sus canales.</w:t>
      </w:r>
    </w:p>
    <w:p>
      <w:pPr>
        <w:pStyle w:val="ListParagraph"/>
        <w:numPr>
          <w:ilvl w:val="0"/>
          <w:numId w:val="1"/>
        </w:numPr>
        <w:spacing w:after="60"/>
      </w:pPr>
      <w:r>
        <w:rPr>
          <w:rFonts w:ascii="Calibri" w:cs="Calibri" w:eastAsia="Calibri" w:hAnsi="Calibri"/>
          <w:b w:val="false"/>
          <w:bCs w:val="false"/>
          <w:color w:val="333333"/>
          <w:sz w:val="20"/>
          <w:szCs w:val="20"/>
        </w:rPr>
        <w:t xml:space="preserve">5 canales activos para el lanzamiento: WP-Teléfono, CRM, Mesa de Ayuda, PQRSF y Conexión Académica (el Centro de Experiencia Bonaventuriano se suma más adelante — sección 5).</w:t>
      </w:r>
    </w:p>
    <w:p>
      <w:pPr>
        <w:pStyle w:val="ListParagraph"/>
        <w:numPr>
          <w:ilvl w:val="0"/>
          <w:numId w:val="1"/>
        </w:numPr>
        <w:spacing w:after="60"/>
      </w:pPr>
      <w:r>
        <w:rPr>
          <w:rFonts w:ascii="Calibri" w:cs="Calibri" w:eastAsia="Calibri" w:hAnsi="Calibri"/>
          <w:b w:val="false"/>
          <w:bCs w:val="false"/>
          <w:color w:val="333333"/>
          <w:sz w:val="20"/>
          <w:szCs w:val="20"/>
        </w:rPr>
        <w:t xml:space="preserve">Un concepto de campaña: Autogestión acompañada, con el mensaje ancla “Tu caso, en ruta”.</w:t>
      </w:r>
    </w:p>
    <w:p>
      <w:pPr>
        <w:pStyle w:val="ListParagraph"/>
        <w:numPr>
          <w:ilvl w:val="0"/>
          <w:numId w:val="1"/>
        </w:numPr>
        <w:spacing w:after="60"/>
      </w:pPr>
      <w:r>
        <w:rPr>
          <w:rFonts w:ascii="Calibri" w:cs="Calibri" w:eastAsia="Calibri" w:hAnsi="Calibri"/>
          <w:b w:val="false"/>
          <w:bCs w:val="false"/>
          <w:color w:val="333333"/>
          <w:sz w:val="20"/>
          <w:szCs w:val="20"/>
        </w:rPr>
        <w:t xml:space="preserve">Una fecha: el lanzamiento debe darse en septiembre, dejando agosto para la construcción de piezas y la alineación interna.</w:t>
      </w:r>
    </w:p>
    <w:p>
      <w:pPr>
        <w:pStyle w:val="Heading1"/>
        <w:pBdr>
          <w:bottom w:val="single" w:color="F5821F" w:sz="12" w:space="4"/>
        </w:pBdr>
        <w:spacing w:after="120" w:before="320"/>
      </w:pPr>
      <w:r>
        <w:rPr>
          <w:rFonts w:ascii="Calibri" w:cs="Calibri" w:eastAsia="Calibri" w:hAnsi="Calibri"/>
          <w:b/>
          <w:bCs/>
          <w:color w:val="1B2A4A"/>
          <w:sz w:val="26"/>
          <w:szCs w:val="26"/>
        </w:rPr>
        <w:t xml:space="preserve">2. ¿Qué significa Caminamos Juntos 360°?</w:t>
      </w:r>
    </w:p>
    <w:p>
      <w:pPr>
        <w:spacing w:after="90"/>
      </w:pPr>
      <w:r>
        <w:rPr>
          <w:rFonts w:ascii="Calibri" w:cs="Calibri" w:eastAsia="Calibri" w:hAnsi="Calibri"/>
          <w:b w:val="false"/>
          <w:bCs w:val="false"/>
          <w:i w:val="false"/>
          <w:iCs w:val="false"/>
          <w:color w:val="333333"/>
          <w:sz w:val="20"/>
          <w:szCs w:val="20"/>
        </w:rPr>
        <w:t xml:space="preserve">El número no es decorativo: resume la estructura completa de la estrategia y es un recurso creativo que Comunicaciones puede explotar en el lanzamiento.</w:t>
      </w:r>
    </w:p>
    <w:p>
      <w:pPr>
        <w:shd w:fill="6A2C91" w:val="clear"/>
        <w:spacing w:after="200" w:before="60"/>
      </w:pPr>
      <w:r>
        <w:rPr>
          <w:rFonts w:ascii="Calibri" w:cs="Calibri" w:eastAsia="Calibri" w:hAnsi="Calibri"/>
          <w:b/>
          <w:bCs/>
          <w:color w:val="FFFFFF"/>
          <w:sz w:val="20"/>
          <w:szCs w:val="20"/>
        </w:rPr>
        <w:t xml:space="preserve">3 Dimensiones + 6 Formas de conectar + 0 Obstáculos = 360°</w:t>
      </w:r>
    </w:p>
    <w:p>
      <w:pPr>
        <w:spacing w:after="100" w:before="200"/>
      </w:pPr>
      <w:r>
        <w:rPr>
          <w:rFonts w:ascii="Calibri" w:cs="Calibri" w:eastAsia="Calibri" w:hAnsi="Calibri"/>
          <w:b/>
          <w:bCs/>
          <w:color w:val="F5821F"/>
          <w:sz w:val="21"/>
          <w:szCs w:val="21"/>
        </w:rPr>
        <w:t xml:space="preserve">3 Dimensiones</w:t>
      </w:r>
    </w:p>
    <w:p>
      <w:pPr>
        <w:pStyle w:val="ListParagraph"/>
        <w:numPr>
          <w:ilvl w:val="0"/>
          <w:numId w:val="1"/>
        </w:numPr>
        <w:spacing w:after="60"/>
      </w:pPr>
      <w:r>
        <w:rPr>
          <w:rFonts w:ascii="Calibri" w:cs="Calibri" w:eastAsia="Calibri" w:hAnsi="Calibri"/>
          <w:b w:val="false"/>
          <w:bCs w:val="false"/>
          <w:color w:val="333333"/>
          <w:sz w:val="20"/>
          <w:szCs w:val="20"/>
        </w:rPr>
        <w:t xml:space="preserve">Escuchar con atención — reconocer al usuario como sujeto activo, con voz.</w:t>
      </w:r>
    </w:p>
    <w:p>
      <w:pPr>
        <w:pStyle w:val="ListParagraph"/>
        <w:numPr>
          <w:ilvl w:val="0"/>
          <w:numId w:val="1"/>
        </w:numPr>
        <w:spacing w:after="60"/>
      </w:pPr>
      <w:r>
        <w:rPr>
          <w:rFonts w:ascii="Calibri" w:cs="Calibri" w:eastAsia="Calibri" w:hAnsi="Calibri"/>
          <w:b w:val="false"/>
          <w:bCs w:val="false"/>
          <w:color w:val="333333"/>
          <w:sz w:val="20"/>
          <w:szCs w:val="20"/>
        </w:rPr>
        <w:t xml:space="preserve">Responder con claridad — coherencia, oportunidad y confianza.</w:t>
      </w:r>
    </w:p>
    <w:p>
      <w:pPr>
        <w:pStyle w:val="ListParagraph"/>
        <w:numPr>
          <w:ilvl w:val="0"/>
          <w:numId w:val="1"/>
        </w:numPr>
        <w:spacing w:after="60"/>
      </w:pPr>
      <w:r>
        <w:rPr>
          <w:rFonts w:ascii="Calibri" w:cs="Calibri" w:eastAsia="Calibri" w:hAnsi="Calibri"/>
          <w:b w:val="false"/>
          <w:bCs w:val="false"/>
          <w:color w:val="333333"/>
          <w:sz w:val="20"/>
          <w:szCs w:val="20"/>
        </w:rPr>
        <w:t xml:space="preserve">Acompañar con cercanía — ir más allá, generar aporte y bienestar.</w:t>
      </w:r>
    </w:p>
    <w:p>
      <w:pPr>
        <w:spacing w:after="100" w:before="200"/>
      </w:pPr>
      <w:r>
        <w:rPr>
          <w:rFonts w:ascii="Calibri" w:cs="Calibri" w:eastAsia="Calibri" w:hAnsi="Calibri"/>
          <w:b/>
          <w:bCs/>
          <w:color w:val="F5821F"/>
          <w:sz w:val="21"/>
          <w:szCs w:val="21"/>
        </w:rPr>
        <w:t xml:space="preserve">6 Formas de conectar</w:t>
      </w:r>
    </w:p>
    <w:p>
      <w:pPr>
        <w:pStyle w:val="ListParagraph"/>
        <w:numPr>
          <w:ilvl w:val="0"/>
          <w:numId w:val="1"/>
        </w:numPr>
        <w:spacing w:after="60"/>
      </w:pPr>
      <w:r>
        <w:rPr>
          <w:rFonts w:ascii="Calibri" w:cs="Calibri" w:eastAsia="Calibri" w:hAnsi="Calibri"/>
          <w:b w:val="false"/>
          <w:bCs w:val="false"/>
          <w:color w:val="333333"/>
          <w:sz w:val="20"/>
          <w:szCs w:val="20"/>
        </w:rPr>
        <w:t xml:space="preserve">Presencial, en puntos físicos.</w:t>
      </w:r>
    </w:p>
    <w:p>
      <w:pPr>
        <w:pStyle w:val="ListParagraph"/>
        <w:numPr>
          <w:ilvl w:val="0"/>
          <w:numId w:val="1"/>
        </w:numPr>
        <w:spacing w:after="60"/>
      </w:pPr>
      <w:r>
        <w:rPr>
          <w:rFonts w:ascii="Calibri" w:cs="Calibri" w:eastAsia="Calibri" w:hAnsi="Calibri"/>
          <w:b w:val="false"/>
          <w:bCs w:val="false"/>
          <w:color w:val="333333"/>
          <w:sz w:val="20"/>
          <w:szCs w:val="20"/>
        </w:rPr>
        <w:t xml:space="preserve">Telefónica, línea y WhatsApp.</w:t>
      </w:r>
    </w:p>
    <w:p>
      <w:pPr>
        <w:pStyle w:val="ListParagraph"/>
        <w:numPr>
          <w:ilvl w:val="0"/>
          <w:numId w:val="1"/>
        </w:numPr>
        <w:spacing w:after="60"/>
      </w:pPr>
      <w:r>
        <w:rPr>
          <w:rFonts w:ascii="Calibri" w:cs="Calibri" w:eastAsia="Calibri" w:hAnsi="Calibri"/>
          <w:b w:val="false"/>
          <w:bCs w:val="false"/>
          <w:color w:val="333333"/>
          <w:sz w:val="20"/>
          <w:szCs w:val="20"/>
        </w:rPr>
        <w:t xml:space="preserve">Digital, en plataformas y medios.</w:t>
      </w:r>
    </w:p>
    <w:p>
      <w:pPr>
        <w:pStyle w:val="ListParagraph"/>
        <w:numPr>
          <w:ilvl w:val="0"/>
          <w:numId w:val="1"/>
        </w:numPr>
        <w:spacing w:after="60"/>
      </w:pPr>
      <w:r>
        <w:rPr>
          <w:rFonts w:ascii="Calibri" w:cs="Calibri" w:eastAsia="Calibri" w:hAnsi="Calibri"/>
          <w:b w:val="false"/>
          <w:bCs w:val="false"/>
          <w:color w:val="333333"/>
          <w:sz w:val="20"/>
          <w:szCs w:val="20"/>
        </w:rPr>
        <w:t xml:space="preserve">Académica y administrativa.</w:t>
      </w:r>
    </w:p>
    <w:p>
      <w:pPr>
        <w:pStyle w:val="ListParagraph"/>
        <w:numPr>
          <w:ilvl w:val="0"/>
          <w:numId w:val="1"/>
        </w:numPr>
        <w:spacing w:after="60"/>
      </w:pPr>
      <w:r>
        <w:rPr>
          <w:rFonts w:ascii="Calibri" w:cs="Calibri" w:eastAsia="Calibri" w:hAnsi="Calibri"/>
          <w:b w:val="false"/>
          <w:bCs w:val="false"/>
          <w:color w:val="333333"/>
          <w:sz w:val="20"/>
          <w:szCs w:val="20"/>
        </w:rPr>
        <w:t xml:space="preserve">Personalizada y humana.</w:t>
      </w:r>
    </w:p>
    <w:p>
      <w:pPr>
        <w:pStyle w:val="ListParagraph"/>
        <w:numPr>
          <w:ilvl w:val="0"/>
          <w:numId w:val="1"/>
        </w:numPr>
        <w:spacing w:after="60"/>
      </w:pPr>
      <w:r>
        <w:rPr>
          <w:rFonts w:ascii="Calibri" w:cs="Calibri" w:eastAsia="Calibri" w:hAnsi="Calibri"/>
          <w:b w:val="false"/>
          <w:bCs w:val="false"/>
          <w:color w:val="333333"/>
          <w:sz w:val="20"/>
          <w:szCs w:val="20"/>
        </w:rPr>
        <w:t xml:space="preserve">Integrada entre procesos y canales — en la práctica, esta es la función del Centro de Experiencia Bonaventuriano: por eso puede presentarse como “la sexta forma, en construcción”, sin romper la lectura del 360°.</w:t>
      </w:r>
    </w:p>
    <w:p>
      <w:pPr>
        <w:spacing w:after="100" w:before="200"/>
      </w:pPr>
      <w:r>
        <w:rPr>
          <w:rFonts w:ascii="Calibri" w:cs="Calibri" w:eastAsia="Calibri" w:hAnsi="Calibri"/>
          <w:b/>
          <w:bCs/>
          <w:color w:val="F5821F"/>
          <w:sz w:val="21"/>
          <w:szCs w:val="21"/>
        </w:rPr>
        <w:t xml:space="preserve">0 Obstáculos</w:t>
      </w:r>
    </w:p>
    <w:p>
      <w:pPr>
        <w:pStyle w:val="ListParagraph"/>
        <w:numPr>
          <w:ilvl w:val="0"/>
          <w:numId w:val="1"/>
        </w:numPr>
        <w:spacing w:after="60"/>
      </w:pPr>
      <w:r>
        <w:rPr>
          <w:rFonts w:ascii="Calibri" w:cs="Calibri" w:eastAsia="Calibri" w:hAnsi="Calibri"/>
          <w:b w:val="false"/>
          <w:bCs w:val="false"/>
          <w:color w:val="333333"/>
          <w:sz w:val="20"/>
          <w:szCs w:val="20"/>
        </w:rPr>
        <w:t xml:space="preserve">No trasladar la carga al usuario.</w:t>
      </w:r>
    </w:p>
    <w:p>
      <w:pPr>
        <w:pStyle w:val="ListParagraph"/>
        <w:numPr>
          <w:ilvl w:val="0"/>
          <w:numId w:val="1"/>
        </w:numPr>
        <w:spacing w:after="60"/>
      </w:pPr>
      <w:r>
        <w:rPr>
          <w:rFonts w:ascii="Calibri" w:cs="Calibri" w:eastAsia="Calibri" w:hAnsi="Calibri"/>
          <w:b w:val="false"/>
          <w:bCs w:val="false"/>
          <w:color w:val="333333"/>
          <w:sz w:val="20"/>
          <w:szCs w:val="20"/>
        </w:rPr>
        <w:t xml:space="preserve">No generar fricción innecesaria.</w:t>
      </w:r>
    </w:p>
    <w:p>
      <w:pPr>
        <w:pStyle w:val="ListParagraph"/>
        <w:numPr>
          <w:ilvl w:val="0"/>
          <w:numId w:val="1"/>
        </w:numPr>
        <w:spacing w:after="60"/>
      </w:pPr>
      <w:r>
        <w:rPr>
          <w:rFonts w:ascii="Calibri" w:cs="Calibri" w:eastAsia="Calibri" w:hAnsi="Calibri"/>
          <w:b w:val="false"/>
          <w:bCs w:val="false"/>
          <w:color w:val="333333"/>
          <w:sz w:val="20"/>
          <w:szCs w:val="20"/>
        </w:rPr>
        <w:t xml:space="preserve">No fragmentar la experiencia.</w:t>
      </w:r>
    </w:p>
    <w:p>
      <w:pPr>
        <w:pStyle w:val="ListParagraph"/>
        <w:numPr>
          <w:ilvl w:val="0"/>
          <w:numId w:val="1"/>
        </w:numPr>
        <w:spacing w:after="60"/>
      </w:pPr>
      <w:r>
        <w:rPr>
          <w:rFonts w:ascii="Calibri" w:cs="Calibri" w:eastAsia="Calibri" w:hAnsi="Calibri"/>
          <w:b w:val="false"/>
          <w:bCs w:val="false"/>
          <w:color w:val="333333"/>
          <w:sz w:val="20"/>
          <w:szCs w:val="20"/>
        </w:rPr>
        <w:t xml:space="preserve">Mejorar la experiencia del usuario.</w:t>
      </w:r>
    </w:p>
    <w:p>
      <w:pPr>
        <w:pStyle w:val="ListParagraph"/>
        <w:numPr>
          <w:ilvl w:val="0"/>
          <w:numId w:val="1"/>
        </w:numPr>
        <w:spacing w:after="60"/>
      </w:pPr>
      <w:r>
        <w:rPr>
          <w:rFonts w:ascii="Calibri" w:cs="Calibri" w:eastAsia="Calibri" w:hAnsi="Calibri"/>
          <w:b w:val="false"/>
          <w:bCs w:val="false"/>
          <w:color w:val="333333"/>
          <w:sz w:val="20"/>
          <w:szCs w:val="20"/>
        </w:rPr>
        <w:t xml:space="preserve">Eficiencia operativa.</w:t>
      </w:r>
    </w:p>
    <w:p>
      <w:pPr>
        <w:pStyle w:val="ListParagraph"/>
        <w:numPr>
          <w:ilvl w:val="0"/>
          <w:numId w:val="1"/>
        </w:numPr>
        <w:spacing w:after="60"/>
      </w:pPr>
      <w:r>
        <w:rPr>
          <w:rFonts w:ascii="Calibri" w:cs="Calibri" w:eastAsia="Calibri" w:hAnsi="Calibri"/>
          <w:b w:val="false"/>
          <w:bCs w:val="false"/>
          <w:color w:val="333333"/>
          <w:sz w:val="20"/>
          <w:szCs w:val="20"/>
        </w:rPr>
        <w:t xml:space="preserve">Trazabilidad y seguimiento.</w:t>
      </w:r>
    </w:p>
    <w:p>
      <w:pPr>
        <w:pStyle w:val="Heading1"/>
        <w:pBdr>
          <w:bottom w:val="single" w:color="F5821F" w:sz="12" w:space="4"/>
        </w:pBdr>
        <w:spacing w:after="120" w:before="320"/>
      </w:pPr>
      <w:r>
        <w:rPr>
          <w:rFonts w:ascii="Calibri" w:cs="Calibri" w:eastAsia="Calibri" w:hAnsi="Calibri"/>
          <w:b/>
          <w:bCs/>
          <w:color w:val="1B2A4A"/>
          <w:sz w:val="26"/>
          <w:szCs w:val="26"/>
        </w:rPr>
        <w:t xml:space="preserve">3. Definiciones institucionales</w:t>
      </w:r>
    </w:p>
    <w:p>
      <w:pPr>
        <w:spacing w:after="100" w:before="200"/>
      </w:pPr>
      <w:r>
        <w:rPr>
          <w:rFonts w:ascii="Calibri" w:cs="Calibri" w:eastAsia="Calibri" w:hAnsi="Calibri"/>
          <w:b/>
          <w:bCs/>
          <w:color w:val="F5821F"/>
          <w:sz w:val="21"/>
          <w:szCs w:val="21"/>
        </w:rPr>
        <w:t xml:space="preserve">Servicio</w:t>
      </w:r>
    </w:p>
    <w:p>
      <w:pPr>
        <w:spacing w:after="90"/>
      </w:pPr>
      <w:r>
        <w:rPr>
          <w:rFonts w:ascii="Calibri" w:cs="Calibri" w:eastAsia="Calibri" w:hAnsi="Calibri"/>
          <w:b w:val="false"/>
          <w:bCs w:val="false"/>
          <w:i w:val="false"/>
          <w:iCs w:val="false"/>
          <w:color w:val="333333"/>
          <w:sz w:val="20"/>
          <w:szCs w:val="20"/>
        </w:rPr>
        <w:t xml:space="preserve">Conjunto articulado de actividades, interacciones, procesos, recursos y capacidades institucionales orientadas a atender de manera oportuna, clara, pertinente y humana las necesidades, expectativas y requerimientos de los usuarios, generando valor, confianza y acompañamiento durante toda su experiencia con la Universidad.</w:t>
      </w:r>
    </w:p>
    <w:p>
      <w:pPr>
        <w:spacing w:after="90"/>
      </w:pPr>
      <w:r>
        <w:rPr>
          <w:rFonts w:ascii="Calibri" w:cs="Calibri" w:eastAsia="Calibri" w:hAnsi="Calibri"/>
          <w:b w:val="false"/>
          <w:bCs w:val="false"/>
          <w:i w:val="false"/>
          <w:iCs w:val="false"/>
          <w:color w:val="333333"/>
          <w:sz w:val="20"/>
          <w:szCs w:val="20"/>
        </w:rPr>
        <w:t xml:space="preserve">En la Universidad de San Buenaventura, el servicio trasciende la simple atención de solicitudes; implica escuchar con atención, responder con claridad y acompañar con cercanía, integrando múltiples canales, actores y procesos bajo el principio de “una sola experiencia, múltiples puertas de entrada”, para garantizar soluciones coherentes, accesibles y centradas en la persona.</w:t>
      </w:r>
    </w:p>
    <w:p>
      <w:pPr>
        <w:spacing w:after="100" w:before="200"/>
      </w:pPr>
      <w:r>
        <w:rPr>
          <w:rFonts w:ascii="Calibri" w:cs="Calibri" w:eastAsia="Calibri" w:hAnsi="Calibri"/>
          <w:b/>
          <w:bCs/>
          <w:color w:val="F5821F"/>
          <w:sz w:val="21"/>
          <w:szCs w:val="21"/>
        </w:rPr>
        <w:t xml:space="preserve">Propósito</w:t>
      </w:r>
    </w:p>
    <w:p>
      <w:pPr>
        <w:spacing w:after="90"/>
      </w:pPr>
      <w:r>
        <w:rPr>
          <w:rFonts w:ascii="Calibri" w:cs="Calibri" w:eastAsia="Calibri" w:hAnsi="Calibri"/>
          <w:b w:val="false"/>
          <w:bCs w:val="false"/>
          <w:i w:val="false"/>
          <w:iCs w:val="false"/>
          <w:color w:val="333333"/>
          <w:sz w:val="20"/>
          <w:szCs w:val="20"/>
        </w:rPr>
        <w:t xml:space="preserve">Establecer una estrategia institucional de servicio al usuario orientada a integrar los diversos canales, procesos, tecnologías y capacidades humanas de la Universidad en un modelo común, que garantice una atención cercana, coherente y sin obstáculos a lo largo de la trayectoria del estudiante.</w:t>
      </w:r>
    </w:p>
    <w:p>
      <w:pPr>
        <w:spacing w:after="90"/>
      </w:pPr>
      <w:r>
        <w:rPr>
          <w:rFonts w:ascii="Calibri" w:cs="Calibri" w:eastAsia="Calibri" w:hAnsi="Calibri"/>
          <w:b w:val="false"/>
          <w:bCs w:val="false"/>
          <w:i w:val="false"/>
          <w:iCs w:val="false"/>
          <w:color w:val="333333"/>
          <w:sz w:val="20"/>
          <w:szCs w:val="20"/>
        </w:rPr>
        <w:t xml:space="preserve">Su propósito es fortalecer la experiencia institucional, consolidar una cultura de servicio centrada en las personas y contribuir a la permanencia, la confianza y la sostenibilidad de la Universidad mediante una relación más articulada, oportuna y significativa con su comunidad.</w:t>
      </w:r>
    </w:p>
    <w:p>
      <w:pPr>
        <w:pStyle w:val="Heading1"/>
        <w:pBdr>
          <w:bottom w:val="single" w:color="F5821F" w:sz="12" w:space="4"/>
        </w:pBdr>
        <w:spacing w:after="120" w:before="320"/>
      </w:pPr>
      <w:r>
        <w:rPr>
          <w:rFonts w:ascii="Calibri" w:cs="Calibri" w:eastAsia="Calibri" w:hAnsi="Calibri"/>
          <w:b/>
          <w:bCs/>
          <w:color w:val="1B2A4A"/>
          <w:sz w:val="26"/>
          <w:szCs w:val="26"/>
        </w:rPr>
        <w:t xml:space="preserve">4. Idea central: autogestión acompañada</w:t>
      </w:r>
    </w:p>
    <w:p>
      <w:pPr>
        <w:shd w:fill="F5821F" w:val="clear"/>
        <w:spacing w:after="200" w:before="60"/>
      </w:pPr>
      <w:r>
        <w:rPr>
          <w:rFonts w:ascii="Calibri" w:cs="Calibri" w:eastAsia="Calibri" w:hAnsi="Calibri"/>
          <w:b/>
          <w:bCs/>
          <w:color w:val="FFFFFF"/>
          <w:sz w:val="20"/>
          <w:szCs w:val="20"/>
        </w:rPr>
        <w:t xml:space="preserve">“Tu caso, en ruta. Radica. Haz seguimiento. Recibe respuesta.”</w:t>
      </w:r>
    </w:p>
    <w:p>
      <w:pPr>
        <w:spacing w:after="90"/>
      </w:pPr>
      <w:r>
        <w:rPr>
          <w:rFonts w:ascii="Calibri" w:cs="Calibri" w:eastAsia="Calibri" w:hAnsi="Calibri"/>
          <w:b w:val="false"/>
          <w:bCs w:val="false"/>
          <w:i/>
          <w:iCs/>
          <w:color w:val="333333"/>
          <w:sz w:val="20"/>
          <w:szCs w:val="20"/>
        </w:rPr>
        <w:t xml:space="preserve">Paraguas institucional: Caminamos Juntos 360° — atención clara, cercana y trazable.</w:t>
      </w:r>
    </w:p>
    <w:p>
      <w:pPr>
        <w:spacing w:after="100" w:before="200"/>
      </w:pPr>
      <w:r>
        <w:rPr>
          <w:rFonts w:ascii="Calibri" w:cs="Calibri" w:eastAsia="Calibri" w:hAnsi="Calibri"/>
          <w:b/>
          <w:bCs/>
          <w:color w:val="F5821F"/>
          <w:sz w:val="21"/>
          <w:szCs w:val="21"/>
        </w:rPr>
        <w:t xml:space="preserve">¿Por qué autogestión?</w:t>
      </w:r>
    </w:p>
    <w:p>
      <w:pPr>
        <w:spacing w:after="90"/>
      </w:pPr>
      <w:r>
        <w:rPr>
          <w:rFonts w:ascii="Calibri" w:cs="Calibri" w:eastAsia="Calibri" w:hAnsi="Calibri"/>
          <w:b w:val="false"/>
          <w:bCs w:val="false"/>
          <w:i w:val="false"/>
          <w:iCs w:val="false"/>
          <w:color w:val="333333"/>
          <w:sz w:val="20"/>
          <w:szCs w:val="20"/>
        </w:rPr>
        <w:t xml:space="preserve">En el mundo, todos los servicios están privilegiando la autogestión, y las personas ya se están acostumbrando a eso. Si la Universidad no cuenta con personal suficiente para atender muchos canales al mismo tiempo, lo más eficiente es privilegiar, por cada servicio, el canal correcto y promover la autogestión en él. Tener más canales no es tener mejor atención: una sola persona difícilmente puede atenderlos todos con la misma calidad al mismo tiempo.</w:t>
      </w:r>
    </w:p>
    <w:p>
      <w:pPr>
        <w:spacing w:after="90"/>
      </w:pPr>
      <w:r>
        <w:rPr>
          <w:rFonts w:ascii="Calibri" w:cs="Calibri" w:eastAsia="Calibri" w:hAnsi="Calibri"/>
          <w:b w:val="false"/>
          <w:bCs w:val="false"/>
          <w:i w:val="false"/>
          <w:iCs w:val="false"/>
          <w:color w:val="333333"/>
          <w:sz w:val="20"/>
          <w:szCs w:val="20"/>
        </w:rPr>
        <w:t xml:space="preserve">La autogestión es el eje de toda la estrategia: que cada persona pueda radicar su caso por el canal correcto, con trazabilidad y promesa de servicio, sabiendo que además hay personas reales que acompañan cuando se necesita orientación (Conexión Académica, para estudiantes). No se trata de “usar menos el teléfono”, sino de que cada solicitud tenga una ruta clara desde el inicio.</w:t>
      </w:r>
    </w:p>
    <w:p>
      <w:pPr>
        <w:pStyle w:val="Heading1"/>
        <w:pBdr>
          <w:bottom w:val="single" w:color="F5821F" w:sz="12" w:space="4"/>
        </w:pBdr>
        <w:spacing w:after="120" w:before="320"/>
      </w:pPr>
      <w:r>
        <w:rPr>
          <w:rFonts w:ascii="Calibri" w:cs="Calibri" w:eastAsia="Calibri" w:hAnsi="Calibri"/>
          <w:b/>
          <w:bCs/>
          <w:color w:val="1B2A4A"/>
          <w:sz w:val="26"/>
          <w:szCs w:val="26"/>
        </w:rPr>
        <w:t xml:space="preserve">5. Mapa de canales</w:t>
      </w:r>
    </w:p>
    <w:p>
      <w:pPr>
        <w:spacing w:after="90"/>
      </w:pPr>
      <w:r>
        <w:rPr>
          <w:rFonts w:ascii="Calibri" w:cs="Calibri" w:eastAsia="Calibri" w:hAnsi="Calibri"/>
          <w:b w:val="false"/>
          <w:bCs w:val="false"/>
          <w:i w:val="false"/>
          <w:iCs w:val="false"/>
          <w:color w:val="333333"/>
          <w:sz w:val="20"/>
          <w:szCs w:val="20"/>
        </w:rPr>
        <w:t xml:space="preserve">Los canales conviven con un mismo propósito: servir con cercanía, claridad y compromiso. No todos son para todo el mundo — este es el resumen que debe quedar claro en cualquier pieza.</w:t>
      </w:r>
    </w:p>
    <w:p>
      <w:pPr>
        <w:spacing w:after="10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0%"/>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Canal</w:t>
            </w:r>
          </w:p>
        </w:tc>
        <w:tc>
          <w:tcPr>
            <w:tcW w:type="pct" w:w="38%"/>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¿Qué pretende?</w:t>
            </w:r>
          </w:p>
        </w:tc>
        <w:tc>
          <w:tcPr>
            <w:tcW w:type="pct" w:w="24%"/>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Público</w:t>
            </w:r>
          </w:p>
        </w:tc>
        <w:tc>
          <w:tcPr>
            <w:tcW w:type="pct" w:w="18%"/>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Estado</w:t>
            </w:r>
          </w:p>
        </w:tc>
      </w:tr>
      <w:tr>
        <w:tc>
          <w:tcPr>
            <w:tcW w:type="pct" w:w="20%"/>
            <w:shd w:fill="F2F2F2" w:val="clear"/>
            <w:tcMar>
              <w:top w:type="dxa" w:w="90"/>
              <w:left w:type="dxa" w:w="110"/>
              <w:bottom w:type="dxa" w:w="90"/>
              <w:right w:type="dxa" w:w="110"/>
            </w:tcMar>
            <w:vAlign w:val="center"/>
          </w:tcPr>
          <w:p>
            <w:pPr>
              <w:spacing w:after="40"/>
            </w:pPr>
            <w:r>
              <w:rPr>
                <w:rFonts w:ascii="Calibri" w:cs="Calibri" w:eastAsia="Calibri" w:hAnsi="Calibri"/>
                <w:b/>
                <w:bCs/>
                <w:sz w:val="17"/>
                <w:szCs w:val="17"/>
              </w:rPr>
              <w:t xml:space="preserve">1. WP – Teléfono</w:t>
            </w:r>
          </w:p>
          <w:p>
            <w:pPr>
              <w:spacing w:after="0"/>
            </w:pPr>
            <w:r>
              <w:rPr>
                <w:rFonts w:ascii="Calibri" w:cs="Calibri" w:eastAsia="Calibri" w:hAnsi="Calibri"/>
                <w:b/>
                <w:bCs/>
                <w:sz w:val="17"/>
                <w:szCs w:val="17"/>
              </w:rPr>
              <w:t xml:space="preserve">(línea y WhatsApp institucional)</w:t>
            </w:r>
          </w:p>
        </w:tc>
        <w:tc>
          <w:tcPr>
            <w:tcW w:type="pct" w:w="38%"/>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Orientación inmediata y primer contacto humano; conecta con el canal correcto. Privilegia orientar y vender, no resolver casos.</w:t>
            </w:r>
          </w:p>
        </w:tc>
        <w:tc>
          <w:tcPr>
            <w:tcW w:type="pct" w:w="24%"/>
            <w:shd w:fill="F2F2F2" w:val="clear"/>
            <w:tcMar>
              <w:top w:type="dxa" w:w="90"/>
              <w:left w:type="dxa" w:w="110"/>
              <w:bottom w:type="dxa" w:w="90"/>
              <w:right w:type="dxa" w:w="110"/>
            </w:tcMar>
            <w:vAlign w:val="center"/>
          </w:tcPr>
          <w:p>
            <w:pPr>
              <w:spacing w:after="40"/>
            </w:pPr>
            <w:r>
              <w:rPr>
                <w:rFonts w:ascii="Calibri" w:cs="Calibri" w:eastAsia="Calibri" w:hAnsi="Calibri"/>
                <w:b w:val="false"/>
                <w:bCs w:val="false"/>
                <w:color w:val="333333"/>
                <w:sz w:val="17"/>
                <w:szCs w:val="17"/>
              </w:rPr>
              <w:t xml:space="preserve">Todo público</w:t>
            </w:r>
          </w:p>
          <w:p>
            <w:pPr>
              <w:spacing w:after="0"/>
            </w:pPr>
            <w:r>
              <w:rPr>
                <w:rFonts w:ascii="Calibri" w:cs="Calibri" w:eastAsia="Calibri" w:hAnsi="Calibri"/>
                <w:b w:val="false"/>
                <w:bCs w:val="false"/>
                <w:color w:val="333333"/>
                <w:sz w:val="17"/>
                <w:szCs w:val="17"/>
              </w:rPr>
              <w:t xml:space="preserve">(interno y externo)</w:t>
            </w:r>
          </w:p>
        </w:tc>
        <w:tc>
          <w:tcPr>
            <w:tcW w:type="pct" w:w="18%"/>
            <w:shd w:fill="F2F2F2" w:val="clear"/>
            <w:tcMar>
              <w:top w:type="dxa" w:w="90"/>
              <w:left w:type="dxa" w:w="110"/>
              <w:bottom w:type="dxa" w:w="90"/>
              <w:right w:type="dxa" w:w="110"/>
            </w:tcMar>
            <w:vAlign w:val="center"/>
          </w:tcPr>
          <w:p>
            <w:pPr>
              <w:spacing w:after="0"/>
            </w:pPr>
            <w:r>
              <w:rPr>
                <w:rFonts w:ascii="Calibri" w:cs="Calibri" w:eastAsia="Calibri" w:hAnsi="Calibri"/>
                <w:b w:val="false"/>
                <w:bCs w:val="false"/>
                <w:color w:val="1E7B4D"/>
                <w:sz w:val="17"/>
                <w:szCs w:val="17"/>
              </w:rPr>
              <w:t xml:space="preserve">Activo</w:t>
            </w:r>
          </w:p>
        </w:tc>
      </w:tr>
      <w:tr>
        <w:tc>
          <w:tcPr>
            <w:tcW w:type="pct" w:w="20%"/>
            <w:shd w:fill="FFFFFF" w:val="clear"/>
            <w:tcMar>
              <w:top w:type="dxa" w:w="90"/>
              <w:left w:type="dxa" w:w="110"/>
              <w:bottom w:type="dxa" w:w="90"/>
              <w:right w:type="dxa" w:w="110"/>
            </w:tcMar>
            <w:vAlign w:val="center"/>
          </w:tcPr>
          <w:p>
            <w:pPr>
              <w:spacing w:after="0"/>
            </w:pPr>
            <w:r>
              <w:rPr>
                <w:rFonts w:ascii="Calibri" w:cs="Calibri" w:eastAsia="Calibri" w:hAnsi="Calibri"/>
                <w:b/>
                <w:bCs/>
                <w:sz w:val="17"/>
                <w:szCs w:val="17"/>
              </w:rPr>
              <w:t xml:space="preserve">2. CRM</w:t>
            </w:r>
          </w:p>
        </w:tc>
        <w:tc>
          <w:tcPr>
            <w:tcW w:type="pct" w:w="3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Da seguimiento y continuidad comercial a lo que llega por teléfono o WhatsApp, sobre todo en admisión y educación continua.</w:t>
            </w:r>
          </w:p>
        </w:tc>
        <w:tc>
          <w:tcPr>
            <w:tcW w:type="pct" w:w="24%"/>
            <w:shd w:fill="FFFFFF" w:val="clear"/>
            <w:tcMar>
              <w:top w:type="dxa" w:w="90"/>
              <w:left w:type="dxa" w:w="110"/>
              <w:bottom w:type="dxa" w:w="90"/>
              <w:right w:type="dxa" w:w="110"/>
            </w:tcMar>
            <w:vAlign w:val="center"/>
          </w:tcPr>
          <w:p>
            <w:pPr>
              <w:spacing w:after="0"/>
            </w:pPr>
            <w:r>
              <w:rPr>
                <w:rFonts w:ascii="Calibri" w:cs="Calibri" w:eastAsia="Calibri" w:hAnsi="Calibri"/>
                <w:b w:val="false"/>
                <w:bCs w:val="false"/>
                <w:color w:val="333333"/>
                <w:sz w:val="17"/>
                <w:szCs w:val="17"/>
              </w:rPr>
              <w:t xml:space="preserve">Aspirantes y público externo</w:t>
            </w:r>
          </w:p>
        </w:tc>
        <w:tc>
          <w:tcPr>
            <w:tcW w:type="pct" w:w="18%"/>
            <w:shd w:fill="FFFFFF" w:val="clear"/>
            <w:tcMar>
              <w:top w:type="dxa" w:w="90"/>
              <w:left w:type="dxa" w:w="110"/>
              <w:bottom w:type="dxa" w:w="90"/>
              <w:right w:type="dxa" w:w="110"/>
            </w:tcMar>
            <w:vAlign w:val="center"/>
          </w:tcPr>
          <w:p>
            <w:pPr>
              <w:spacing w:after="0"/>
            </w:pPr>
            <w:r>
              <w:rPr>
                <w:rFonts w:ascii="Calibri" w:cs="Calibri" w:eastAsia="Calibri" w:hAnsi="Calibri"/>
                <w:b w:val="false"/>
                <w:bCs w:val="false"/>
                <w:color w:val="1E7B4D"/>
                <w:sz w:val="17"/>
                <w:szCs w:val="17"/>
              </w:rPr>
              <w:t xml:space="preserve">Activo</w:t>
            </w:r>
          </w:p>
        </w:tc>
      </w:tr>
      <w:tr>
        <w:tc>
          <w:tcPr>
            <w:tcW w:type="pct" w:w="20%"/>
            <w:shd w:fill="F2F2F2" w:val="clear"/>
            <w:tcMar>
              <w:top w:type="dxa" w:w="90"/>
              <w:left w:type="dxa" w:w="110"/>
              <w:bottom w:type="dxa" w:w="90"/>
              <w:right w:type="dxa" w:w="110"/>
            </w:tcMar>
            <w:vAlign w:val="center"/>
          </w:tcPr>
          <w:p>
            <w:pPr>
              <w:spacing w:after="0"/>
            </w:pPr>
            <w:r>
              <w:rPr>
                <w:rFonts w:ascii="Calibri" w:cs="Calibri" w:eastAsia="Calibri" w:hAnsi="Calibri"/>
                <w:b/>
                <w:bCs/>
                <w:sz w:val="17"/>
                <w:szCs w:val="17"/>
              </w:rPr>
              <w:t xml:space="preserve">3. Mesa de Ayuda</w:t>
            </w:r>
          </w:p>
        </w:tc>
        <w:tc>
          <w:tcPr>
            <w:tcW w:type="pct" w:w="38%"/>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Resuelve de forma ágil solicitudes operativas de baja complejidad (máx. 8 días, idealmente &lt;72h).</w:t>
            </w:r>
          </w:p>
        </w:tc>
        <w:tc>
          <w:tcPr>
            <w:tcW w:type="pct" w:w="24%"/>
            <w:shd w:fill="F2F2F2" w:val="clear"/>
            <w:tcMar>
              <w:top w:type="dxa" w:w="90"/>
              <w:left w:type="dxa" w:w="110"/>
              <w:bottom w:type="dxa" w:w="90"/>
              <w:right w:type="dxa" w:w="110"/>
            </w:tcMar>
            <w:vAlign w:val="center"/>
          </w:tcPr>
          <w:p>
            <w:pPr>
              <w:spacing w:after="0"/>
            </w:pPr>
            <w:r>
              <w:rPr>
                <w:rFonts w:ascii="Calibri" w:cs="Calibri" w:eastAsia="Calibri" w:hAnsi="Calibri"/>
                <w:b w:val="false"/>
                <w:bCs w:val="false"/>
                <w:color w:val="333333"/>
                <w:sz w:val="17"/>
                <w:szCs w:val="17"/>
              </w:rPr>
              <w:t xml:space="preserve">Exclusivo: estudiantes, profesores y empleados</w:t>
            </w:r>
          </w:p>
        </w:tc>
        <w:tc>
          <w:tcPr>
            <w:tcW w:type="pct" w:w="18%"/>
            <w:shd w:fill="F2F2F2" w:val="clear"/>
            <w:tcMar>
              <w:top w:type="dxa" w:w="90"/>
              <w:left w:type="dxa" w:w="110"/>
              <w:bottom w:type="dxa" w:w="90"/>
              <w:right w:type="dxa" w:w="110"/>
            </w:tcMar>
            <w:vAlign w:val="center"/>
          </w:tcPr>
          <w:p>
            <w:pPr>
              <w:spacing w:after="0"/>
            </w:pPr>
            <w:r>
              <w:rPr>
                <w:rFonts w:ascii="Calibri" w:cs="Calibri" w:eastAsia="Calibri" w:hAnsi="Calibri"/>
                <w:b w:val="false"/>
                <w:bCs w:val="false"/>
                <w:color w:val="1E7B4D"/>
                <w:sz w:val="17"/>
                <w:szCs w:val="17"/>
              </w:rPr>
              <w:t xml:space="preserve">Activo</w:t>
            </w:r>
          </w:p>
        </w:tc>
      </w:tr>
      <w:tr>
        <w:tc>
          <w:tcPr>
            <w:tcW w:type="pct" w:w="20%"/>
            <w:shd w:fill="FFFFFF" w:val="clear"/>
            <w:tcMar>
              <w:top w:type="dxa" w:w="90"/>
              <w:left w:type="dxa" w:w="110"/>
              <w:bottom w:type="dxa" w:w="90"/>
              <w:right w:type="dxa" w:w="110"/>
            </w:tcMar>
            <w:vAlign w:val="center"/>
          </w:tcPr>
          <w:p>
            <w:pPr>
              <w:spacing w:after="0"/>
            </w:pPr>
            <w:r>
              <w:rPr>
                <w:rFonts w:ascii="Calibri" w:cs="Calibri" w:eastAsia="Calibri" w:hAnsi="Calibri"/>
                <w:b/>
                <w:bCs/>
                <w:sz w:val="17"/>
                <w:szCs w:val="17"/>
              </w:rPr>
              <w:t xml:space="preserve">4. PQRSF</w:t>
            </w:r>
          </w:p>
        </w:tc>
        <w:tc>
          <w:tcPr>
            <w:tcW w:type="pct" w:w="3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Gestiona de forma formal y trazable peticiones, quejas, reclamos, sugerencias y felicitaciones, con tiempos de ley.</w:t>
            </w:r>
          </w:p>
        </w:tc>
        <w:tc>
          <w:tcPr>
            <w:tcW w:type="pct" w:w="24%"/>
            <w:shd w:fill="FFFFFF" w:val="clear"/>
            <w:tcMar>
              <w:top w:type="dxa" w:w="90"/>
              <w:left w:type="dxa" w:w="110"/>
              <w:bottom w:type="dxa" w:w="90"/>
              <w:right w:type="dxa" w:w="110"/>
            </w:tcMar>
            <w:vAlign w:val="center"/>
          </w:tcPr>
          <w:p>
            <w:pPr>
              <w:spacing w:after="40"/>
            </w:pPr>
            <w:r>
              <w:rPr>
                <w:rFonts w:ascii="Calibri" w:cs="Calibri" w:eastAsia="Calibri" w:hAnsi="Calibri"/>
                <w:b w:val="false"/>
                <w:bCs w:val="false"/>
                <w:color w:val="333333"/>
                <w:sz w:val="17"/>
                <w:szCs w:val="17"/>
              </w:rPr>
              <w:t xml:space="preserve">Todo público</w:t>
            </w:r>
          </w:p>
          <w:p>
            <w:pPr>
              <w:spacing w:after="0"/>
            </w:pPr>
            <w:r>
              <w:rPr>
                <w:rFonts w:ascii="Calibri" w:cs="Calibri" w:eastAsia="Calibri" w:hAnsi="Calibri"/>
                <w:b w:val="false"/>
                <w:bCs w:val="false"/>
                <w:color w:val="333333"/>
                <w:sz w:val="17"/>
                <w:szCs w:val="17"/>
              </w:rPr>
              <w:t xml:space="preserve">(interno y externo)</w:t>
            </w:r>
          </w:p>
        </w:tc>
        <w:tc>
          <w:tcPr>
            <w:tcW w:type="pct" w:w="18%"/>
            <w:shd w:fill="FFFFFF" w:val="clear"/>
            <w:tcMar>
              <w:top w:type="dxa" w:w="90"/>
              <w:left w:type="dxa" w:w="110"/>
              <w:bottom w:type="dxa" w:w="90"/>
              <w:right w:type="dxa" w:w="110"/>
            </w:tcMar>
            <w:vAlign w:val="center"/>
          </w:tcPr>
          <w:p>
            <w:pPr>
              <w:spacing w:after="0"/>
            </w:pPr>
            <w:r>
              <w:rPr>
                <w:rFonts w:ascii="Calibri" w:cs="Calibri" w:eastAsia="Calibri" w:hAnsi="Calibri"/>
                <w:b w:val="false"/>
                <w:bCs w:val="false"/>
                <w:color w:val="1E7B4D"/>
                <w:sz w:val="17"/>
                <w:szCs w:val="17"/>
              </w:rPr>
              <w:t xml:space="preserve">Activo</w:t>
            </w:r>
          </w:p>
        </w:tc>
      </w:tr>
      <w:tr>
        <w:tc>
          <w:tcPr>
            <w:tcW w:type="pct" w:w="20%"/>
            <w:shd w:fill="F2F2F2" w:val="clear"/>
            <w:tcMar>
              <w:top w:type="dxa" w:w="90"/>
              <w:left w:type="dxa" w:w="110"/>
              <w:bottom w:type="dxa" w:w="90"/>
              <w:right w:type="dxa" w:w="110"/>
            </w:tcMar>
            <w:vAlign w:val="center"/>
          </w:tcPr>
          <w:p>
            <w:pPr>
              <w:spacing w:after="0"/>
            </w:pPr>
            <w:r>
              <w:rPr>
                <w:rFonts w:ascii="Calibri" w:cs="Calibri" w:eastAsia="Calibri" w:hAnsi="Calibri"/>
                <w:b/>
                <w:bCs/>
                <w:sz w:val="17"/>
                <w:szCs w:val="17"/>
              </w:rPr>
              <w:t xml:space="preserve">5. Conexión Académica</w:t>
            </w:r>
          </w:p>
        </w:tc>
        <w:tc>
          <w:tcPr>
            <w:tcW w:type="pct" w:w="38%"/>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Acompaña presencialmente a estudiantes en trámites académicos y les enseña a usar los canales de autogestión.</w:t>
            </w:r>
          </w:p>
        </w:tc>
        <w:tc>
          <w:tcPr>
            <w:tcW w:type="pct" w:w="24%"/>
            <w:shd w:fill="F2F2F2" w:val="clear"/>
            <w:tcMar>
              <w:top w:type="dxa" w:w="90"/>
              <w:left w:type="dxa" w:w="110"/>
              <w:bottom w:type="dxa" w:w="90"/>
              <w:right w:type="dxa" w:w="110"/>
            </w:tcMar>
            <w:vAlign w:val="center"/>
          </w:tcPr>
          <w:p>
            <w:pPr>
              <w:spacing w:after="0"/>
            </w:pPr>
            <w:r>
              <w:rPr>
                <w:rFonts w:ascii="Calibri" w:cs="Calibri" w:eastAsia="Calibri" w:hAnsi="Calibri"/>
                <w:b w:val="false"/>
                <w:bCs w:val="false"/>
                <w:color w:val="333333"/>
                <w:sz w:val="17"/>
                <w:szCs w:val="17"/>
              </w:rPr>
              <w:t xml:space="preserve">EXCLUSIVO estudiantes</w:t>
            </w:r>
          </w:p>
        </w:tc>
        <w:tc>
          <w:tcPr>
            <w:tcW w:type="pct" w:w="18%"/>
            <w:shd w:fill="F2F2F2" w:val="clear"/>
            <w:tcMar>
              <w:top w:type="dxa" w:w="90"/>
              <w:left w:type="dxa" w:w="110"/>
              <w:bottom w:type="dxa" w:w="90"/>
              <w:right w:type="dxa" w:w="110"/>
            </w:tcMar>
            <w:vAlign w:val="center"/>
          </w:tcPr>
          <w:p>
            <w:pPr>
              <w:spacing w:after="0"/>
            </w:pPr>
            <w:r>
              <w:rPr>
                <w:rFonts w:ascii="Calibri" w:cs="Calibri" w:eastAsia="Calibri" w:hAnsi="Calibri"/>
                <w:b w:val="false"/>
                <w:bCs w:val="false"/>
                <w:color w:val="1E7B4D"/>
                <w:sz w:val="17"/>
                <w:szCs w:val="17"/>
              </w:rPr>
              <w:t xml:space="preserve">Activo</w:t>
            </w:r>
          </w:p>
        </w:tc>
      </w:tr>
      <w:tr>
        <w:tc>
          <w:tcPr>
            <w:tcW w:type="pct" w:w="20%"/>
            <w:shd w:fill="F2F2F2" w:val="clear"/>
            <w:tcMar>
              <w:top w:type="dxa" w:w="90"/>
              <w:left w:type="dxa" w:w="110"/>
              <w:bottom w:type="dxa" w:w="90"/>
              <w:right w:type="dxa" w:w="110"/>
            </w:tcMar>
            <w:vAlign w:val="center"/>
          </w:tcPr>
          <w:p>
            <w:pPr>
              <w:spacing w:after="0"/>
            </w:pPr>
            <w:r>
              <w:rPr>
                <w:rFonts w:ascii="Calibri" w:cs="Calibri" w:eastAsia="Calibri" w:hAnsi="Calibri"/>
                <w:b/>
                <w:bCs/>
                <w:sz w:val="17"/>
                <w:szCs w:val="17"/>
              </w:rPr>
              <w:t xml:space="preserve">6. Centro de Experiencia Bonaventuriano</w:t>
            </w:r>
          </w:p>
        </w:tc>
        <w:tc>
          <w:tcPr>
            <w:tcW w:type="pct" w:w="38%"/>
            <w:shd w:fill="F2F2F2" w:val="clear"/>
            <w:tcMar>
              <w:top w:type="dxa" w:w="90"/>
              <w:left w:type="dxa" w:w="110"/>
              <w:bottom w:type="dxa" w:w="90"/>
              <w:right w:type="dxa" w:w="110"/>
            </w:tcMar>
            <w:vAlign w:val="center"/>
          </w:tcPr>
          <w:p>
            <w:r>
              <w:rPr>
                <w:rFonts w:ascii="Calibri" w:cs="Calibri" w:eastAsia="Calibri" w:hAnsi="Calibri"/>
                <w:b w:val="false"/>
                <w:bCs w:val="false"/>
                <w:color w:val="777777"/>
                <w:sz w:val="17"/>
                <w:szCs w:val="17"/>
              </w:rPr>
              <w:t xml:space="preserve">Escucha, mide e integra la experiencia en todos los canales; genera insights para la mejora continua.</w:t>
            </w:r>
          </w:p>
        </w:tc>
        <w:tc>
          <w:tcPr>
            <w:tcW w:type="pct" w:w="24%"/>
            <w:shd w:fill="F2F2F2" w:val="clear"/>
            <w:tcMar>
              <w:top w:type="dxa" w:w="90"/>
              <w:left w:type="dxa" w:w="110"/>
              <w:bottom w:type="dxa" w:w="90"/>
              <w:right w:type="dxa" w:w="110"/>
            </w:tcMar>
            <w:vAlign w:val="center"/>
          </w:tcPr>
          <w:p>
            <w:pPr>
              <w:spacing w:after="0"/>
            </w:pPr>
            <w:r>
              <w:rPr>
                <w:rFonts w:ascii="Calibri" w:cs="Calibri" w:eastAsia="Calibri" w:hAnsi="Calibri"/>
                <w:b w:val="false"/>
                <w:bCs w:val="false"/>
                <w:color w:val="777777"/>
                <w:sz w:val="17"/>
                <w:szCs w:val="17"/>
              </w:rPr>
              <w:t xml:space="preserve">Todo público</w:t>
            </w:r>
          </w:p>
        </w:tc>
        <w:tc>
          <w:tcPr>
            <w:tcW w:type="pct" w:w="18%"/>
            <w:shd w:fill="F2F2F2" w:val="clear"/>
            <w:tcMar>
              <w:top w:type="dxa" w:w="90"/>
              <w:left w:type="dxa" w:w="110"/>
              <w:bottom w:type="dxa" w:w="90"/>
              <w:right w:type="dxa" w:w="110"/>
            </w:tcMar>
            <w:vAlign w:val="center"/>
          </w:tcPr>
          <w:p>
            <w:pPr>
              <w:spacing w:after="40"/>
            </w:pPr>
            <w:r>
              <w:rPr>
                <w:rFonts w:ascii="Calibri" w:cs="Calibri" w:eastAsia="Calibri" w:hAnsi="Calibri"/>
                <w:b/>
                <w:bCs/>
                <w:color w:val="6A2C91"/>
                <w:sz w:val="17"/>
                <w:szCs w:val="17"/>
              </w:rPr>
              <w:t xml:space="preserve">Próximamente</w:t>
            </w:r>
          </w:p>
          <w:p>
            <w:pPr>
              <w:spacing w:after="0"/>
            </w:pPr>
            <w:r>
              <w:rPr>
                <w:rFonts w:ascii="Calibri" w:cs="Calibri" w:eastAsia="Calibri" w:hAnsi="Calibri"/>
                <w:b/>
                <w:bCs/>
                <w:color w:val="6A2C91"/>
                <w:sz w:val="17"/>
                <w:szCs w:val="17"/>
              </w:rPr>
              <w:t xml:space="preserve">(en construcción)</w:t>
            </w:r>
          </w:p>
        </w:tc>
      </w:tr>
    </w:tbl>
    <w:p>
      <w:pPr>
        <w:spacing w:after="100" w:before="140"/>
      </w:pPr>
      <w:r>
        <w:rPr>
          <w:rFonts w:ascii="Calibri" w:cs="Calibri" w:eastAsia="Calibri" w:hAnsi="Calibri"/>
          <w:b/>
          <w:bCs/>
          <w:color w:val="1B2A4A"/>
          <w:sz w:val="19"/>
          <w:szCs w:val="19"/>
        </w:rPr>
        <w:t xml:space="preserve">Canales complementarios: </w:t>
      </w:r>
      <w:r>
        <w:rPr>
          <w:rFonts w:ascii="Calibri" w:cs="Calibri" w:eastAsia="Calibri" w:hAnsi="Calibri"/>
          <w:sz w:val="19"/>
          <w:szCs w:val="19"/>
        </w:rPr>
        <w:t xml:space="preserve">WP-Teléfono y CRM funcionan en conjunto — el CRM permite hacer seguimiento a lo que llega por teléfono o WhatsApp. Por eso ambos se privilegian para orientar y para la venta (admisiones, educación continua), no tanto para la resolución de casos: eso corresponde a Mesa de Ayuda, PQRSF y Conexión Académica.</w:t>
      </w:r>
    </w:p>
    <w:p>
      <w:pPr>
        <w:spacing w:after="0" w:before="100"/>
      </w:pPr>
      <w:r>
        <w:rPr>
          <w:rFonts w:ascii="Calibri" w:cs="Calibri" w:eastAsia="Calibri" w:hAnsi="Calibri"/>
          <w:b/>
          <w:bCs/>
          <w:color w:val="C0392B"/>
          <w:sz w:val="19"/>
          <w:szCs w:val="19"/>
        </w:rPr>
        <w:t xml:space="preserve">Importante: </w:t>
      </w:r>
      <w:r>
        <w:rPr>
          <w:rFonts w:ascii="Calibri" w:cs="Calibri" w:eastAsia="Calibri" w:hAnsi="Calibri"/>
          <w:sz w:val="19"/>
          <w:szCs w:val="19"/>
        </w:rPr>
        <w:t xml:space="preserve">Conexión Académica es exclusiva para estudiantes. Mesa de Ayuda es exclusiva para comunidad interna (estudiantes, profesores y empleados). Los demás canales activos están abiertos a todo público. El Centro de Experiencia Bonaventuriano no hace parte del lanzamiento de septiembre; se presenta como el sexto canal, en construcción, sin protagonismo en las piezas de este lanzamiento.</w:t>
      </w:r>
    </w:p>
    <w:p>
      <w:pPr>
        <w:pStyle w:val="Heading1"/>
        <w:pBdr>
          <w:bottom w:val="single" w:color="F5821F" w:sz="12" w:space="4"/>
        </w:pBdr>
        <w:spacing w:after="120" w:before="320"/>
      </w:pPr>
      <w:r>
        <w:rPr>
          <w:rFonts w:ascii="Calibri" w:cs="Calibri" w:eastAsia="Calibri" w:hAnsi="Calibri"/>
          <w:b/>
          <w:bCs/>
          <w:color w:val="1B2A4A"/>
          <w:sz w:val="26"/>
          <w:szCs w:val="26"/>
        </w:rPr>
        <w:t xml:space="preserve">6. BONI: la mascota que invita</w:t>
      </w:r>
    </w:p>
    <w:p>
      <w:pPr>
        <w:spacing w:after="100" w:before="200"/>
      </w:pPr>
      <w:r>
        <w:rPr>
          <w:rFonts w:ascii="Calibri" w:cs="Calibri" w:eastAsia="Calibri" w:hAnsi="Calibri"/>
          <w:b/>
          <w:bCs/>
          <w:color w:val="F5821F"/>
          <w:sz w:val="21"/>
          <w:szCs w:val="21"/>
        </w:rPr>
        <w:t xml:space="preserve">¿Quién es?</w:t>
      </w:r>
    </w:p>
    <w:p>
      <w:pPr>
        <w:pStyle w:val="ListParagraph"/>
        <w:numPr>
          <w:ilvl w:val="0"/>
          <w:numId w:val="1"/>
        </w:numPr>
        <w:spacing w:after="60"/>
      </w:pPr>
      <w:r>
        <w:rPr>
          <w:rFonts w:ascii="Calibri" w:cs="Calibri" w:eastAsia="Calibri" w:hAnsi="Calibri"/>
          <w:b w:val="false"/>
          <w:bCs w:val="false"/>
          <w:color w:val="333333"/>
          <w:sz w:val="20"/>
          <w:szCs w:val="20"/>
        </w:rPr>
        <w:t xml:space="preserve">BONI es la mascota de USBMED.</w:t>
      </w:r>
    </w:p>
    <w:p>
      <w:pPr>
        <w:spacing w:after="100" w:before="200"/>
      </w:pPr>
      <w:r>
        <w:rPr>
          <w:rFonts w:ascii="Calibri" w:cs="Calibri" w:eastAsia="Calibri" w:hAnsi="Calibri"/>
          <w:b/>
          <w:bCs/>
          <w:color w:val="F5821F"/>
          <w:sz w:val="21"/>
          <w:szCs w:val="21"/>
        </w:rPr>
        <w:t xml:space="preserve">¿Qué representa? (características de personalidad)</w:t>
      </w:r>
    </w:p>
    <w:p>
      <w:pPr>
        <w:pStyle w:val="ListParagraph"/>
        <w:numPr>
          <w:ilvl w:val="0"/>
          <w:numId w:val="1"/>
        </w:numPr>
        <w:spacing w:after="60"/>
      </w:pPr>
      <w:r>
        <w:rPr>
          <w:rFonts w:ascii="Calibri" w:cs="Calibri" w:eastAsia="Calibri" w:hAnsi="Calibri"/>
          <w:b w:val="false"/>
          <w:bCs w:val="false"/>
          <w:color w:val="333333"/>
          <w:sz w:val="20"/>
          <w:szCs w:val="20"/>
        </w:rPr>
        <w:t xml:space="preserve">Curiosidad, cercanía e inteligencia.</w:t>
      </w:r>
    </w:p>
    <w:p>
      <w:pPr>
        <w:pStyle w:val="ListParagraph"/>
        <w:numPr>
          <w:ilvl w:val="0"/>
          <w:numId w:val="1"/>
        </w:numPr>
        <w:spacing w:after="60"/>
      </w:pPr>
      <w:r>
        <w:rPr>
          <w:rFonts w:ascii="Calibri" w:cs="Calibri" w:eastAsia="Calibri" w:hAnsi="Calibri"/>
          <w:b w:val="false"/>
          <w:bCs w:val="false"/>
          <w:color w:val="333333"/>
          <w:sz w:val="20"/>
          <w:szCs w:val="20"/>
        </w:rPr>
        <w:t xml:space="preserve">Esencia franciscana y ecológica: cuidado de la vida, la naturaleza y la biodiversidad.</w:t>
      </w:r>
    </w:p>
    <w:p>
      <w:pPr>
        <w:pStyle w:val="ListParagraph"/>
        <w:numPr>
          <w:ilvl w:val="0"/>
          <w:numId w:val="1"/>
        </w:numPr>
        <w:spacing w:after="60"/>
      </w:pPr>
      <w:r>
        <w:rPr>
          <w:rFonts w:ascii="Calibri" w:cs="Calibri" w:eastAsia="Calibri" w:hAnsi="Calibri"/>
          <w:b w:val="false"/>
          <w:bCs w:val="false"/>
          <w:color w:val="333333"/>
          <w:sz w:val="20"/>
          <w:szCs w:val="20"/>
        </w:rPr>
        <w:t xml:space="preserve">Símbolo de pertenencia para estudiantes, docentes, egresados y colaboradores.</w:t>
      </w:r>
    </w:p>
    <w:p>
      <w:pPr>
        <w:spacing w:after="100" w:before="200"/>
      </w:pPr>
      <w:r>
        <w:rPr>
          <w:rFonts w:ascii="Calibri" w:cs="Calibri" w:eastAsia="Calibri" w:hAnsi="Calibri"/>
          <w:b/>
          <w:bCs/>
          <w:color w:val="F5821F"/>
          <w:sz w:val="21"/>
          <w:szCs w:val="21"/>
        </w:rPr>
        <w:t xml:space="preserve">Su rol en esta estrategia</w:t>
      </w:r>
    </w:p>
    <w:p>
      <w:pPr>
        <w:spacing w:after="90"/>
      </w:pPr>
      <w:r>
        <w:rPr>
          <w:rFonts w:ascii="Calibri" w:cs="Calibri" w:eastAsia="Calibri" w:hAnsi="Calibri"/>
          <w:b w:val="false"/>
          <w:bCs w:val="false"/>
          <w:i w:val="false"/>
          <w:iCs w:val="false"/>
          <w:color w:val="333333"/>
          <w:sz w:val="20"/>
          <w:szCs w:val="20"/>
        </w:rPr>
        <w:t xml:space="preserve">BONI no explica procesos — invita. Abre camino, genera curiosidad y acompaña emocionalmente; luego “entrega la palabra” a los canales y a las personas de Conexión Académica para la parte formal.</w:t>
      </w:r>
    </w:p>
    <w:p>
      <w:pPr>
        <w:spacing w:after="90"/>
      </w:pPr>
      <w:r>
        <w:rPr>
          <w:rFonts w:ascii="Calibri" w:cs="Calibri" w:eastAsia="Calibri" w:hAnsi="Calibri"/>
          <w:b w:val="false"/>
          <w:bCs w:val="false"/>
          <w:i/>
          <w:iCs/>
          <w:color w:val="1B2A4A"/>
          <w:sz w:val="20"/>
          <w:szCs w:val="20"/>
        </w:rPr>
        <w:t xml:space="preserve">En una frase: BONI es la puerta; Conexión Académica es la casa.</w:t>
      </w:r>
    </w:p>
    <w:p>
      <w:pPr>
        <w:spacing w:after="100" w:before="1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BONI SÍ</w:t>
            </w:r>
          </w:p>
        </w:tc>
        <w:tc>
          <w:tcPr>
            <w:tcW w:type="pct" w:w="50%"/>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BONI NO</w:t>
            </w:r>
          </w:p>
        </w:tc>
      </w:tr>
      <w:tr>
        <w:tc>
          <w:tcPr>
            <w:tcW w:type="pct" w:w="50%"/>
            <w:shd w:fill="FDEFE3"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Abre piezas de expectativa, invitaciones y llamados a la acción.</w:t>
            </w:r>
          </w:p>
          <w:p>
            <w:pPr>
              <w:spacing w:after="40"/>
            </w:pPr>
            <w:r>
              <w:rPr>
                <w:rFonts w:ascii="Calibri" w:cs="Calibri" w:eastAsia="Calibri" w:hAnsi="Calibri"/>
                <w:b w:val="false"/>
                <w:bCs w:val="false"/>
                <w:sz w:val="17"/>
                <w:szCs w:val="17"/>
              </w:rPr>
              <w:t xml:space="preserve">Mantiene su personalidad: curioso, cálido, cercano.</w:t>
            </w:r>
          </w:p>
          <w:p>
            <w:pPr>
              <w:spacing w:after="40"/>
            </w:pPr>
            <w:r>
              <w:rPr>
                <w:rFonts w:ascii="Calibri" w:cs="Calibri" w:eastAsia="Calibri" w:hAnsi="Calibri"/>
                <w:b w:val="false"/>
                <w:bCs w:val="false"/>
                <w:sz w:val="17"/>
                <w:szCs w:val="17"/>
              </w:rPr>
              <w:t xml:space="preserve">Aparece guiando, señalando camino (coherente con “ruta”).</w:t>
            </w:r>
          </w:p>
          <w:p>
            <w:pPr>
              <w:spacing w:after="0"/>
            </w:pPr>
            <w:r>
              <w:rPr>
                <w:rFonts w:ascii="Calibri" w:cs="Calibri" w:eastAsia="Calibri" w:hAnsi="Calibri"/>
                <w:b w:val="false"/>
                <w:bCs w:val="false"/>
                <w:sz w:val="17"/>
                <w:szCs w:val="17"/>
              </w:rPr>
              <w:t xml:space="preserve">Es el rostro emocional de expectativa y lanzamiento.</w:t>
            </w:r>
          </w:p>
        </w:tc>
        <w:tc>
          <w:tcPr>
            <w:tcW w:type="pct" w:w="50%"/>
            <w:shd w:fill="F2E7F5"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No explica procedimientos técnicos, plazos legales ni letra menuda.</w:t>
            </w:r>
          </w:p>
          <w:p>
            <w:pPr>
              <w:spacing w:after="40"/>
            </w:pPr>
            <w:r>
              <w:rPr>
                <w:rFonts w:ascii="Calibri" w:cs="Calibri" w:eastAsia="Calibri" w:hAnsi="Calibri"/>
                <w:b w:val="false"/>
                <w:bCs w:val="false"/>
                <w:sz w:val="17"/>
                <w:szCs w:val="17"/>
              </w:rPr>
              <w:t xml:space="preserve">No aparece en cada pieza — su presencia debe sentirse como aparición, no relleno.</w:t>
            </w:r>
          </w:p>
          <w:p>
            <w:pPr>
              <w:spacing w:after="40"/>
            </w:pPr>
            <w:r>
              <w:rPr>
                <w:rFonts w:ascii="Calibri" w:cs="Calibri" w:eastAsia="Calibri" w:hAnsi="Calibri"/>
                <w:b w:val="false"/>
                <w:bCs w:val="false"/>
                <w:sz w:val="17"/>
                <w:szCs w:val="17"/>
              </w:rPr>
              <w:t xml:space="preserve">No se mezcla con el tono formal de PQRSF o trazabilidad jurídica.</w:t>
            </w:r>
          </w:p>
          <w:p>
            <w:pPr>
              <w:spacing w:after="0"/>
            </w:pPr>
            <w:r>
              <w:rPr>
                <w:rFonts w:ascii="Calibri" w:cs="Calibri" w:eastAsia="Calibri" w:hAnsi="Calibri"/>
                <w:b w:val="false"/>
                <w:bCs w:val="false"/>
                <w:sz w:val="17"/>
                <w:szCs w:val="17"/>
              </w:rPr>
              <w:t xml:space="preserve">No reemplaza la voz institucional; la antecede e invita a ella.</w:t>
            </w:r>
          </w:p>
        </w:tc>
      </w:tr>
    </w:tbl>
    <w:p>
      <w:pPr>
        <w:pStyle w:val="Heading1"/>
        <w:pBdr>
          <w:bottom w:val="single" w:color="F5821F" w:sz="12" w:space="4"/>
        </w:pBdr>
        <w:spacing w:after="120" w:before="320"/>
      </w:pPr>
      <w:r>
        <w:rPr>
          <w:rFonts w:ascii="Calibri" w:cs="Calibri" w:eastAsia="Calibri" w:hAnsi="Calibri"/>
          <w:b/>
          <w:bCs/>
          <w:color w:val="1B2A4A"/>
          <w:sz w:val="26"/>
          <w:szCs w:val="26"/>
        </w:rPr>
        <w:t xml:space="preserve">7. Compromiso institucional: 0 Obstáculos en la práctica</w:t>
      </w:r>
    </w:p>
    <w:p>
      <w:pPr>
        <w:spacing w:after="90"/>
      </w:pPr>
      <w:r>
        <w:rPr>
          <w:rFonts w:ascii="Calibri" w:cs="Calibri" w:eastAsia="Calibri" w:hAnsi="Calibri"/>
          <w:b w:val="false"/>
          <w:bCs w:val="false"/>
          <w:i w:val="false"/>
          <w:iCs w:val="false"/>
          <w:color w:val="333333"/>
          <w:sz w:val="20"/>
          <w:szCs w:val="20"/>
        </w:rPr>
        <w:t xml:space="preserve">Autogestión también se construye puertas adentro. Los 6 principios de “0 Obstáculos” (sección 2) no son solo un concepto de campaña: son el compromiso que cada área asume al usar su canal.</w:t>
      </w:r>
    </w:p>
    <w:p>
      <w:pPr>
        <w:spacing w:after="10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32%"/>
            <w:shd w:fill="6A2C91"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Principio (0 Obstáculos)</w:t>
            </w:r>
          </w:p>
        </w:tc>
        <w:tc>
          <w:tcPr>
            <w:tcW w:type="pct" w:w="68%"/>
            <w:shd w:fill="6A2C91"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Qué significa en la práctica</w:t>
            </w:r>
          </w:p>
        </w:tc>
      </w:tr>
      <w:tr>
        <w:tc>
          <w:tcPr>
            <w:tcW w:type="pct" w:w="3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No trasladar la carga al usuario</w:t>
            </w:r>
          </w:p>
        </w:tc>
        <w:tc>
          <w:tcPr>
            <w:tcW w:type="pct" w:w="6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No se le pide al usuario resolver la desarticulación interna entre áreas.</w:t>
            </w:r>
          </w:p>
        </w:tc>
      </w:tr>
      <w:tr>
        <w:tc>
          <w:tcPr>
            <w:tcW w:type="pct" w:w="32%"/>
            <w:shd w:fill="FFFFFF"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No generar fricción innecesaria</w:t>
            </w:r>
          </w:p>
        </w:tc>
        <w:tc>
          <w:tcPr>
            <w:tcW w:type="pct" w:w="6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No se crean pasos, formularios o esperas que no aportan valor.</w:t>
            </w:r>
          </w:p>
        </w:tc>
      </w:tr>
      <w:tr>
        <w:tc>
          <w:tcPr>
            <w:tcW w:type="pct" w:w="3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No fragmentar la experiencia</w:t>
            </w:r>
          </w:p>
        </w:tc>
        <w:tc>
          <w:tcPr>
            <w:tcW w:type="pct" w:w="6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Un caso no rebota entre personas o canales sin necesidad.</w:t>
            </w:r>
          </w:p>
        </w:tc>
      </w:tr>
      <w:tr>
        <w:tc>
          <w:tcPr>
            <w:tcW w:type="pct" w:w="32%"/>
            <w:shd w:fill="FFFFFF"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Mejorar la experiencia del usuario</w:t>
            </w:r>
          </w:p>
        </w:tc>
        <w:tc>
          <w:tcPr>
            <w:tcW w:type="pct" w:w="6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Toda interacción se hace con calidez, no solo con eficacia.</w:t>
            </w:r>
          </w:p>
        </w:tc>
      </w:tr>
      <w:tr>
        <w:tc>
          <w:tcPr>
            <w:tcW w:type="pct" w:w="3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Eficiencia operativa</w:t>
            </w:r>
          </w:p>
        </w:tc>
        <w:tc>
          <w:tcPr>
            <w:tcW w:type="pct" w:w="6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Se resuelve por el canal correcto, no por el más cómodo para quien atiende.</w:t>
            </w:r>
          </w:p>
        </w:tc>
      </w:tr>
      <w:tr>
        <w:tc>
          <w:tcPr>
            <w:tcW w:type="pct" w:w="32%"/>
            <w:shd w:fill="FFFFFF"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Trazabilidad y seguimiento</w:t>
            </w:r>
          </w:p>
        </w:tc>
        <w:tc>
          <w:tcPr>
            <w:tcW w:type="pct" w:w="6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Todo caso queda registrado, sin importar por dónde entró.</w:t>
            </w:r>
          </w:p>
        </w:tc>
      </w:tr>
    </w:tbl>
    <w:p>
      <w:pPr>
        <w:spacing w:after="100" w:before="200"/>
      </w:pPr>
      <w:r>
        <w:rPr>
          <w:rFonts w:ascii="Calibri" w:cs="Calibri" w:eastAsia="Calibri" w:hAnsi="Calibri"/>
          <w:b/>
          <w:bCs/>
          <w:color w:val="F5821F"/>
          <w:sz w:val="21"/>
          <w:szCs w:val="21"/>
        </w:rPr>
        <w:t xml:space="preserve">El error transversal más importante</w:t>
      </w:r>
    </w:p>
    <w:p>
      <w:pPr>
        <w:spacing w:after="90"/>
      </w:pPr>
      <w:r>
        <w:rPr>
          <w:rFonts w:ascii="Calibri" w:cs="Calibri" w:eastAsia="Calibri" w:hAnsi="Calibri"/>
          <w:b w:val="false"/>
          <w:bCs w:val="false"/>
          <w:i w:val="false"/>
          <w:iCs w:val="false"/>
          <w:color w:val="333333"/>
          <w:sz w:val="20"/>
          <w:szCs w:val="20"/>
        </w:rPr>
        <w:t xml:space="preserve">En todos los canales, lo que más rápido rompe la confianza es el trato cortante, irrespetuoso o desinformado con los usuarios. Por eso BONI representa cercanía y fraternidad: ese es el estándar de trato que la campaña promueve, y el que cada persona de la Universidad debe sostener en cada interacción, sin importar el canal.</w:t>
      </w:r>
    </w:p>
    <w:p>
      <w:pPr>
        <w:spacing w:after="100" w:before="200"/>
      </w:pPr>
      <w:r>
        <w:rPr>
          <w:rFonts w:ascii="Calibri" w:cs="Calibri" w:eastAsia="Calibri" w:hAnsi="Calibri"/>
          <w:b/>
          <w:bCs/>
          <w:color w:val="F5821F"/>
          <w:sz w:val="21"/>
          <w:szCs w:val="21"/>
        </w:rPr>
        <w:t xml:space="preserve">El compromiso de cada área</w:t>
      </w:r>
    </w:p>
    <w:p>
      <w:pPr>
        <w:spacing w:after="90"/>
      </w:pPr>
      <w:r>
        <w:rPr>
          <w:rFonts w:ascii="Calibri" w:cs="Calibri" w:eastAsia="Calibri" w:hAnsi="Calibri"/>
          <w:b w:val="false"/>
          <w:bCs w:val="false"/>
          <w:i w:val="false"/>
          <w:iCs w:val="false"/>
          <w:color w:val="333333"/>
          <w:sz w:val="20"/>
          <w:szCs w:val="20"/>
        </w:rPr>
        <w:t xml:space="preserve">Más que corregir procedimientos específicos por unidad —ya definidos en la caracterización de cada canal—, el llamado del lanzamiento es a que cada persona de la Universidad se comprometa a hacer el mejor uso del canal que tiene asignado: usarlo, no evitarlo; resolver por ahí, no por fuera de él; y tratar a quien llega con la misma cercanía que le pedimos a BONI.</w:t>
      </w:r>
    </w:p>
    <w:p>
      <w:pPr>
        <w:pStyle w:val="Heading1"/>
        <w:pBdr>
          <w:bottom w:val="single" w:color="F5821F" w:sz="12" w:space="4"/>
        </w:pBdr>
        <w:spacing w:after="120" w:before="320"/>
      </w:pPr>
      <w:r>
        <w:rPr>
          <w:rFonts w:ascii="Calibri" w:cs="Calibri" w:eastAsia="Calibri" w:hAnsi="Calibri"/>
          <w:b/>
          <w:bCs/>
          <w:color w:val="1B2A4A"/>
          <w:sz w:val="26"/>
          <w:szCs w:val="26"/>
        </w:rPr>
        <w:t xml:space="preserve">8. Ruta de despliegue</w:t>
      </w:r>
    </w:p>
    <w:p>
      <w:pPr>
        <w:spacing w:after="90"/>
      </w:pPr>
      <w:r>
        <w:rPr>
          <w:rFonts w:ascii="Calibri" w:cs="Calibri" w:eastAsia="Calibri" w:hAnsi="Calibri"/>
          <w:b w:val="false"/>
          <w:bCs w:val="false"/>
          <w:i w:val="false"/>
          <w:iCs w:val="false"/>
          <w:color w:val="333333"/>
          <w:sz w:val="20"/>
          <w:szCs w:val="20"/>
        </w:rPr>
        <w:t xml:space="preserve">Fases resumidas de la campaña, con el rol de BONI en cada una. El detalle de piezas, guiones y calendario queda abierto a propuesta de Comunicaciones.</w:t>
      </w:r>
    </w:p>
    <w:p>
      <w:pPr>
        <w:spacing w:after="10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2%"/>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Fase</w:t>
            </w:r>
          </w:p>
        </w:tc>
        <w:tc>
          <w:tcPr>
            <w:tcW w:type="pct" w:w="20%"/>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Objetivo</w:t>
            </w:r>
          </w:p>
        </w:tc>
        <w:tc>
          <w:tcPr>
            <w:tcW w:type="pct" w:w="20%"/>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Mensaje ancla</w:t>
            </w:r>
          </w:p>
        </w:tc>
        <w:tc>
          <w:tcPr>
            <w:tcW w:type="pct" w:w="24%"/>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Rol de BONI</w:t>
            </w:r>
          </w:p>
        </w:tc>
        <w:tc>
          <w:tcPr>
            <w:tcW w:type="pct" w:w="24%"/>
            <w:shd w:fill="1B2A4A"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Tip para Comunicaciones</w:t>
            </w:r>
          </w:p>
        </w:tc>
      </w:tr>
      <w:tr>
        <w:tc>
          <w:tcPr>
            <w:tcW w:type="pct" w:w="12%"/>
            <w:shd w:fill="F2F2F2"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Fase 0</w:t>
            </w:r>
          </w:p>
          <w:p>
            <w:pPr>
              <w:spacing w:after="0"/>
            </w:pPr>
            <w:r>
              <w:rPr>
                <w:rFonts w:ascii="Calibri" w:cs="Calibri" w:eastAsia="Calibri" w:hAnsi="Calibri"/>
                <w:b w:val="false"/>
                <w:bCs w:val="false"/>
                <w:sz w:val="17"/>
                <w:szCs w:val="17"/>
              </w:rPr>
              <w:t xml:space="preserve">Alineación interna (agosto)</w:t>
            </w:r>
          </w:p>
        </w:tc>
        <w:tc>
          <w:tcPr>
            <w:tcW w:type="pct" w:w="20%"/>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Que todas las áreas hablen el mismo idioma antes de salir a público.</w:t>
            </w:r>
          </w:p>
        </w:tc>
        <w:tc>
          <w:tcPr>
            <w:tcW w:type="pct" w:w="20%"/>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“Toda orientación conduce a una ruta clara.”</w:t>
            </w:r>
          </w:p>
        </w:tc>
        <w:tc>
          <w:tcPr>
            <w:tcW w:type="pct" w:w="24%"/>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No protagoniza. Puede aparecer en piezas internas dando la bienvenida al proceso.</w:t>
            </w:r>
          </w:p>
        </w:tc>
        <w:tc>
          <w:tcPr>
            <w:tcW w:type="pct" w:w="24%"/>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Validar con las áreas el compromiso de “0 obstáculos” antes de diseñar piezas externas.</w:t>
            </w:r>
          </w:p>
        </w:tc>
      </w:tr>
      <w:tr>
        <w:tc>
          <w:tcPr>
            <w:tcW w:type="pct" w:w="12%"/>
            <w:shd w:fill="FFFFFF"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Fase 1</w:t>
            </w:r>
          </w:p>
          <w:p>
            <w:pPr>
              <w:spacing w:after="0"/>
            </w:pPr>
            <w:r>
              <w:rPr>
                <w:rFonts w:ascii="Calibri" w:cs="Calibri" w:eastAsia="Calibri" w:hAnsi="Calibri"/>
                <w:b w:val="false"/>
                <w:bCs w:val="false"/>
                <w:sz w:val="17"/>
                <w:szCs w:val="17"/>
              </w:rPr>
              <w:t xml:space="preserve">Expectativa (últimos días de agosto)</w:t>
            </w:r>
          </w:p>
        </w:tc>
        <w:tc>
          <w:tcPr>
            <w:tcW w:type="pct" w:w="20%"/>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Generar curiosidad, sin explicar todavía.</w:t>
            </w:r>
          </w:p>
        </w:tc>
        <w:tc>
          <w:tcPr>
            <w:tcW w:type="pct" w:w="20%"/>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“¿Sabes en qué va tu solicitud?”</w:t>
            </w:r>
          </w:p>
        </w:tc>
        <w:tc>
          <w:tcPr>
            <w:tcW w:type="pct" w:w="24%"/>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Aparece a medias: huellas, silueta, un guiño. Intriga, no protagonismo total.</w:t>
            </w:r>
          </w:p>
        </w:tc>
        <w:tc>
          <w:tcPr>
            <w:tcW w:type="pct" w:w="24%"/>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Teasers muy cortos. Sin nombrar canales, plataformas ni procedimientos.</w:t>
            </w:r>
          </w:p>
        </w:tc>
      </w:tr>
      <w:tr>
        <w:tc>
          <w:tcPr>
            <w:tcW w:type="pct" w:w="12%"/>
            <w:shd w:fill="F2F2F2"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Fase 2</w:t>
            </w:r>
          </w:p>
          <w:p>
            <w:pPr>
              <w:spacing w:after="0"/>
            </w:pPr>
            <w:r>
              <w:rPr>
                <w:rFonts w:ascii="Calibri" w:cs="Calibri" w:eastAsia="Calibri" w:hAnsi="Calibri"/>
                <w:b w:val="false"/>
                <w:bCs w:val="false"/>
                <w:sz w:val="17"/>
                <w:szCs w:val="17"/>
              </w:rPr>
              <w:t xml:space="preserve">Lanzamiento (septiembre)</w:t>
            </w:r>
          </w:p>
        </w:tc>
        <w:tc>
          <w:tcPr>
            <w:tcW w:type="pct" w:w="20%"/>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Presentar la estrategia y su propósito.</w:t>
            </w:r>
          </w:p>
        </w:tc>
        <w:tc>
          <w:tcPr>
            <w:tcW w:type="pct" w:w="20%"/>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“Tu caso, en ruta. Radica. Haz seguimiento. Recibe respuesta.”</w:t>
            </w:r>
          </w:p>
        </w:tc>
        <w:tc>
          <w:tcPr>
            <w:tcW w:type="pct" w:w="24%"/>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Se revela como guía oficial. Invita, abre la puerta, presenta la idea.</w:t>
            </w:r>
          </w:p>
        </w:tc>
        <w:tc>
          <w:tcPr>
            <w:tcW w:type="pct" w:w="24%"/>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Un mensaje simple y emocional. La explicación técnica no la da BONI.</w:t>
            </w:r>
          </w:p>
        </w:tc>
      </w:tr>
      <w:tr>
        <w:tc>
          <w:tcPr>
            <w:tcW w:type="pct" w:w="12%"/>
            <w:shd w:fill="FFFFFF"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Fase 3</w:t>
            </w:r>
          </w:p>
          <w:p>
            <w:pPr>
              <w:spacing w:after="0"/>
            </w:pPr>
            <w:r>
              <w:rPr>
                <w:rFonts w:ascii="Calibri" w:cs="Calibri" w:eastAsia="Calibri" w:hAnsi="Calibri"/>
                <w:b w:val="false"/>
                <w:bCs w:val="false"/>
                <w:sz w:val="17"/>
                <w:szCs w:val="17"/>
              </w:rPr>
              <w:t xml:space="preserve">Educación (septiembre–octubre)</w:t>
            </w:r>
          </w:p>
        </w:tc>
        <w:tc>
          <w:tcPr>
            <w:tcW w:type="pct" w:w="20%"/>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Mostrar por qué y cómo radicar en cada canal.</w:t>
            </w:r>
          </w:p>
        </w:tc>
        <w:tc>
          <w:tcPr>
            <w:tcW w:type="pct" w:w="20%"/>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“Radicar convierte tu solicitud en un caso gestionable.”</w:t>
            </w:r>
          </w:p>
        </w:tc>
        <w:tc>
          <w:tcPr>
            <w:tcW w:type="pct" w:w="24%"/>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Guía el paso a paso (carrusel), pero los datos duros los da texto/voz institucional.</w:t>
            </w:r>
          </w:p>
        </w:tc>
        <w:tc>
          <w:tcPr>
            <w:tcW w:type="pct" w:w="24%"/>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Un mensaje por pieza. Aprovechar el mapa de canales para explicar cuál usar según el público.</w:t>
            </w:r>
          </w:p>
        </w:tc>
      </w:tr>
      <w:tr>
        <w:tc>
          <w:tcPr>
            <w:tcW w:type="pct" w:w="12%"/>
            <w:shd w:fill="F2F2F2"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Fase 4</w:t>
            </w:r>
          </w:p>
          <w:p>
            <w:pPr>
              <w:spacing w:after="0"/>
            </w:pPr>
            <w:r>
              <w:rPr>
                <w:rFonts w:ascii="Calibri" w:cs="Calibri" w:eastAsia="Calibri" w:hAnsi="Calibri"/>
                <w:b w:val="false"/>
                <w:bCs w:val="false"/>
                <w:sz w:val="17"/>
                <w:szCs w:val="17"/>
              </w:rPr>
              <w:t xml:space="preserve">Mapa de canales (septiembre–octubre)</w:t>
            </w:r>
          </w:p>
        </w:tc>
        <w:tc>
          <w:tcPr>
            <w:tcW w:type="pct" w:w="20%"/>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Ubicar cada canal según la necesidad y el público.</w:t>
            </w:r>
          </w:p>
        </w:tc>
        <w:tc>
          <w:tcPr>
            <w:tcW w:type="pct" w:w="20%"/>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“Elige el canal adecuado para tu necesidad.”</w:t>
            </w:r>
          </w:p>
        </w:tc>
        <w:tc>
          <w:tcPr>
            <w:tcW w:type="pct" w:w="24%"/>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Funciona como señal o mapa: apunta, dirige, no describe cada canal en detalle.</w:t>
            </w:r>
          </w:p>
        </w:tc>
        <w:tc>
          <w:tcPr>
            <w:tcW w:type="pct" w:w="24%"/>
            <w:shd w:fill="F2F2F2"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Aclarar públicos: Conexión Académica es solo para estudiantes; los demás canales son de uso general.</w:t>
            </w:r>
          </w:p>
        </w:tc>
      </w:tr>
      <w:tr>
        <w:tc>
          <w:tcPr>
            <w:tcW w:type="pct" w:w="12%"/>
            <w:shd w:fill="FFFFFF" w:val="clear"/>
            <w:tcMar>
              <w:top w:type="dxa" w:w="90"/>
              <w:left w:type="dxa" w:w="110"/>
              <w:bottom w:type="dxa" w:w="90"/>
              <w:right w:type="dxa" w:w="110"/>
            </w:tcMar>
            <w:vAlign w:val="center"/>
          </w:tcPr>
          <w:p>
            <w:pPr>
              <w:spacing w:after="40"/>
            </w:pPr>
            <w:r>
              <w:rPr>
                <w:rFonts w:ascii="Calibri" w:cs="Calibri" w:eastAsia="Calibri" w:hAnsi="Calibri"/>
                <w:b w:val="false"/>
                <w:bCs w:val="false"/>
                <w:sz w:val="17"/>
                <w:szCs w:val="17"/>
              </w:rPr>
              <w:t xml:space="preserve">Fase 5</w:t>
            </w:r>
          </w:p>
          <w:p>
            <w:pPr>
              <w:spacing w:after="0"/>
            </w:pPr>
            <w:r>
              <w:rPr>
                <w:rFonts w:ascii="Calibri" w:cs="Calibri" w:eastAsia="Calibri" w:hAnsi="Calibri"/>
                <w:b w:val="false"/>
                <w:bCs w:val="false"/>
                <w:sz w:val="17"/>
                <w:szCs w:val="17"/>
              </w:rPr>
              <w:t xml:space="preserve">Sostenimiento (octubre en adelante)</w:t>
            </w:r>
          </w:p>
        </w:tc>
        <w:tc>
          <w:tcPr>
            <w:tcW w:type="pct" w:w="20%"/>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Mantener el hábito en el tiempo, dentro y fuera.</w:t>
            </w:r>
          </w:p>
        </w:tc>
        <w:tc>
          <w:tcPr>
            <w:tcW w:type="pct" w:w="20%"/>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“Cada solicitud tiene una ruta.”</w:t>
            </w:r>
          </w:p>
        </w:tc>
        <w:tc>
          <w:tcPr>
            <w:tcW w:type="pct" w:w="24%"/>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Protagoniza cápsulas cortas y recurrentes (serie de tips).</w:t>
            </w:r>
          </w:p>
        </w:tc>
        <w:tc>
          <w:tcPr>
            <w:tcW w:type="pct" w:w="24%"/>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Frecuencia baja pero constante. Reforzar el compromiso de “0 obstáculos” en piezas internas.</w:t>
            </w:r>
          </w:p>
        </w:tc>
      </w:tr>
    </w:tbl>
    <w:p>
      <w:pPr>
        <w:pStyle w:val="Heading1"/>
        <w:pBdr>
          <w:bottom w:val="single" w:color="F5821F" w:sz="12" w:space="4"/>
        </w:pBdr>
        <w:spacing w:after="120" w:before="320"/>
      </w:pPr>
      <w:r>
        <w:rPr>
          <w:rFonts w:ascii="Calibri" w:cs="Calibri" w:eastAsia="Calibri" w:hAnsi="Calibri"/>
          <w:b/>
          <w:bCs/>
          <w:color w:val="1B2A4A"/>
          <w:sz w:val="26"/>
          <w:szCs w:val="26"/>
        </w:rPr>
        <w:t xml:space="preserve">9. Preguntas frecuentes sugeridas (banner web)</w:t>
      </w:r>
    </w:p>
    <w:p>
      <w:pPr>
        <w:spacing w:after="90"/>
      </w:pPr>
      <w:r>
        <w:rPr>
          <w:rFonts w:ascii="Calibri" w:cs="Calibri" w:eastAsia="Calibri" w:hAnsi="Calibri"/>
          <w:b w:val="false"/>
          <w:bCs w:val="false"/>
          <w:i w:val="false"/>
          <w:iCs w:val="false"/>
          <w:color w:val="333333"/>
          <w:sz w:val="20"/>
          <w:szCs w:val="20"/>
        </w:rPr>
        <w:t xml:space="preserve">Insumo para un banner de preguntas frecuentes en el portal. Comunicaciones puede ajustar tono y formato (acordeón, carrusel, etc.):</w:t>
      </w:r>
    </w:p>
    <w:p>
      <w:pPr>
        <w:spacing w:after="10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42%"/>
            <w:shd w:fill="6A2C91"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Pregunta</w:t>
            </w:r>
          </w:p>
        </w:tc>
        <w:tc>
          <w:tcPr>
            <w:tcW w:type="pct" w:w="58%"/>
            <w:shd w:fill="6A2C91" w:val="clear"/>
            <w:tcMar>
              <w:top w:type="dxa" w:w="90"/>
              <w:left w:type="dxa" w:w="110"/>
              <w:bottom w:type="dxa" w:w="90"/>
              <w:right w:type="dxa" w:w="110"/>
            </w:tcMar>
            <w:vAlign w:val="center"/>
          </w:tcPr>
          <w:p>
            <w:r>
              <w:rPr>
                <w:rFonts w:ascii="Calibri" w:cs="Calibri" w:eastAsia="Calibri" w:hAnsi="Calibri"/>
                <w:b/>
                <w:bCs/>
                <w:color w:val="FFFFFF"/>
                <w:sz w:val="18"/>
                <w:szCs w:val="18"/>
              </w:rPr>
              <w:t xml:space="preserve">Respuesta corta</w:t>
            </w:r>
          </w:p>
        </w:tc>
      </w:tr>
      <w:tr>
        <w:tc>
          <w:tcPr>
            <w:tcW w:type="pct" w:w="4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¿Por qué debo radicar mi solicitud?</w:t>
            </w:r>
          </w:p>
        </w:tc>
        <w:tc>
          <w:tcPr>
            <w:tcW w:type="pct" w:w="5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Porque así queda registrada, se asigna a un responsable, tiene una promesa de servicio y puedes hacerle seguimiento.</w:t>
            </w:r>
          </w:p>
        </w:tc>
      </w:tr>
      <w:tr>
        <w:tc>
          <w:tcPr>
            <w:tcW w:type="pct" w:w="42%"/>
            <w:shd w:fill="FFFFFF"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¿Qué canal debo usar?</w:t>
            </w:r>
          </w:p>
        </w:tc>
        <w:tc>
          <w:tcPr>
            <w:tcW w:type="pct" w:w="5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Depende de tu necesidad y tu perfil: revisa el mapa de canales. Si tienes dudas, Conexión Académica (solo estudiantes) o la línea WP-Teléfono te orientan.</w:t>
            </w:r>
          </w:p>
        </w:tc>
      </w:tr>
      <w:tr>
        <w:tc>
          <w:tcPr>
            <w:tcW w:type="pct" w:w="4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¿Qué debo conservar?</w:t>
            </w:r>
          </w:p>
        </w:tc>
        <w:tc>
          <w:tcPr>
            <w:tcW w:type="pct" w:w="5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El número de caso, radicado o confirmación de envío.</w:t>
            </w:r>
          </w:p>
        </w:tc>
      </w:tr>
      <w:tr>
        <w:tc>
          <w:tcPr>
            <w:tcW w:type="pct" w:w="42%"/>
            <w:shd w:fill="FFFFFF"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¿Cómo sé cuánto tardará la respuesta?</w:t>
            </w:r>
          </w:p>
        </w:tc>
        <w:tc>
          <w:tcPr>
            <w:tcW w:type="pct" w:w="5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Cada trámite tiene una promesa de servicio definida según su canal y complejidad.</w:t>
            </w:r>
          </w:p>
        </w:tc>
      </w:tr>
      <w:tr>
        <w:tc>
          <w:tcPr>
            <w:tcW w:type="pct" w:w="4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¿Puedo llamar para conocer el estado?</w:t>
            </w:r>
          </w:p>
        </w:tc>
        <w:tc>
          <w:tcPr>
            <w:tcW w:type="pct" w:w="5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El estado se consulta preferiblemente por el canal donde radicaste el caso; la línea telefónica puede orientarte sobre cómo hacerlo.</w:t>
            </w:r>
          </w:p>
        </w:tc>
      </w:tr>
      <w:tr>
        <w:tc>
          <w:tcPr>
            <w:tcW w:type="pct" w:w="42%"/>
            <w:shd w:fill="FFFFFF"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¿Conexión Académica resuelve todos los casos?</w:t>
            </w:r>
          </w:p>
        </w:tc>
        <w:tc>
          <w:tcPr>
            <w:tcW w:type="pct" w:w="58%"/>
            <w:shd w:fill="FFFFFF"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Conexión Académica escucha, orienta y acompaña a estudiantes. La solución la da el área responsable según el tipo de solicitud.</w:t>
            </w:r>
          </w:p>
        </w:tc>
      </w:tr>
      <w:tr>
        <w:tc>
          <w:tcPr>
            <w:tcW w:type="pct" w:w="42%"/>
            <w:shd w:fill="F2E7F5" w:val="clear"/>
            <w:tcMar>
              <w:top w:type="dxa" w:w="90"/>
              <w:left w:type="dxa" w:w="110"/>
              <w:bottom w:type="dxa" w:w="90"/>
              <w:right w:type="dxa" w:w="110"/>
            </w:tcMar>
            <w:vAlign w:val="center"/>
          </w:tcPr>
          <w:p>
            <w:r>
              <w:rPr>
                <w:rFonts w:ascii="Calibri" w:cs="Calibri" w:eastAsia="Calibri" w:hAnsi="Calibri"/>
                <w:b/>
                <w:bCs/>
                <w:color w:val="333333"/>
                <w:sz w:val="17"/>
                <w:szCs w:val="17"/>
              </w:rPr>
              <w:t xml:space="preserve">¿Puedo presentar de nuevo la misma solicitud?</w:t>
            </w:r>
          </w:p>
        </w:tc>
        <w:tc>
          <w:tcPr>
            <w:tcW w:type="pct" w:w="58%"/>
            <w:shd w:fill="F2E7F5" w:val="clear"/>
            <w:tcMar>
              <w:top w:type="dxa" w:w="90"/>
              <w:left w:type="dxa" w:w="110"/>
              <w:bottom w:type="dxa" w:w="90"/>
              <w:right w:type="dxa" w:w="110"/>
            </w:tcMar>
            <w:vAlign w:val="center"/>
          </w:tcPr>
          <w:p>
            <w:r>
              <w:rPr>
                <w:rFonts w:ascii="Calibri" w:cs="Calibri" w:eastAsia="Calibri" w:hAnsi="Calibri"/>
                <w:b w:val="false"/>
                <w:bCs w:val="false"/>
                <w:color w:val="333333"/>
                <w:sz w:val="17"/>
                <w:szCs w:val="17"/>
              </w:rPr>
              <w:t xml:space="preserve">Antes de crear un caso nuevo, verifica si ya tienes uno abierto para evitar reprocesos.</w:t>
            </w:r>
          </w:p>
        </w:tc>
      </w:tr>
    </w:tbl>
    <w:p>
      <w:pPr>
        <w:pStyle w:val="Heading1"/>
        <w:pBdr>
          <w:bottom w:val="single" w:color="F5821F" w:sz="12" w:space="4"/>
        </w:pBdr>
        <w:spacing w:after="120" w:before="320"/>
      </w:pPr>
      <w:r>
        <w:rPr>
          <w:rFonts w:ascii="Calibri" w:cs="Calibri" w:eastAsia="Calibri" w:hAnsi="Calibri"/>
          <w:b/>
          <w:bCs/>
          <w:color w:val="1B2A4A"/>
          <w:sz w:val="26"/>
          <w:szCs w:val="26"/>
        </w:rPr>
        <w:t xml:space="preserve">10. Kit mínimo sugerido</w:t>
      </w:r>
    </w:p>
    <w:p>
      <w:pPr>
        <w:spacing w:after="90"/>
      </w:pPr>
      <w:r>
        <w:rPr>
          <w:rFonts w:ascii="Calibri" w:cs="Calibri" w:eastAsia="Calibri" w:hAnsi="Calibri"/>
          <w:b w:val="false"/>
          <w:bCs w:val="false"/>
          <w:i/>
          <w:iCs/>
          <w:color w:val="333333"/>
          <w:sz w:val="20"/>
          <w:szCs w:val="20"/>
        </w:rPr>
        <w:t xml:space="preserve">Punto de partida para la conversación — formatos y prioridades quedan a propuesta del equipo:</w:t>
      </w:r>
    </w:p>
    <w:p>
      <w:pPr>
        <w:pStyle w:val="ListParagraph"/>
        <w:numPr>
          <w:ilvl w:val="0"/>
          <w:numId w:val="1"/>
        </w:numPr>
        <w:spacing w:after="60"/>
      </w:pPr>
      <w:r>
        <w:rPr>
          <w:rFonts w:ascii="Calibri" w:cs="Calibri" w:eastAsia="Calibri" w:hAnsi="Calibri"/>
          <w:b w:val="false"/>
          <w:bCs w:val="false"/>
          <w:color w:val="333333"/>
          <w:sz w:val="20"/>
          <w:szCs w:val="20"/>
        </w:rPr>
        <w:t xml:space="preserve">Identidad gráfica de campaña (con y sin BONI, según la pieza), que explote el número 360° (3 dimensiones, 6 formas de conectar, 0 obstáculos).</w:t>
      </w:r>
    </w:p>
    <w:p>
      <w:pPr>
        <w:pStyle w:val="ListParagraph"/>
        <w:numPr>
          <w:ilvl w:val="0"/>
          <w:numId w:val="1"/>
        </w:numPr>
        <w:spacing w:after="60"/>
      </w:pPr>
      <w:r>
        <w:rPr>
          <w:rFonts w:ascii="Calibri" w:cs="Calibri" w:eastAsia="Calibri" w:hAnsi="Calibri"/>
          <w:b w:val="false"/>
          <w:bCs w:val="false"/>
          <w:color w:val="333333"/>
          <w:sz w:val="20"/>
          <w:szCs w:val="20"/>
        </w:rPr>
        <w:t xml:space="preserve">Video de lanzamiento protagonizado por BONI.</w:t>
      </w:r>
    </w:p>
    <w:p>
      <w:pPr>
        <w:pStyle w:val="ListParagraph"/>
        <w:numPr>
          <w:ilvl w:val="0"/>
          <w:numId w:val="1"/>
        </w:numPr>
        <w:spacing w:after="60"/>
      </w:pPr>
      <w:r>
        <w:rPr>
          <w:rFonts w:ascii="Calibri" w:cs="Calibri" w:eastAsia="Calibri" w:hAnsi="Calibri"/>
          <w:b w:val="false"/>
          <w:bCs w:val="false"/>
          <w:color w:val="333333"/>
          <w:sz w:val="20"/>
          <w:szCs w:val="20"/>
        </w:rPr>
        <w:t xml:space="preserve">Infografía / mapa de canales, con la nota de públicos exclusivos (Conexión Académica, Mesa de Ayuda).</w:t>
      </w:r>
    </w:p>
    <w:p>
      <w:pPr>
        <w:pStyle w:val="ListParagraph"/>
        <w:numPr>
          <w:ilvl w:val="0"/>
          <w:numId w:val="1"/>
        </w:numPr>
        <w:spacing w:after="60"/>
      </w:pPr>
      <w:r>
        <w:rPr>
          <w:rFonts w:ascii="Calibri" w:cs="Calibri" w:eastAsia="Calibri" w:hAnsi="Calibri"/>
          <w:b w:val="false"/>
          <w:bCs w:val="false"/>
          <w:color w:val="333333"/>
          <w:sz w:val="20"/>
          <w:szCs w:val="20"/>
        </w:rPr>
        <w:t xml:space="preserve">Serie de tips en formato corto y recurrente (reels, carrusel).</w:t>
      </w:r>
    </w:p>
    <w:p>
      <w:pPr>
        <w:pStyle w:val="ListParagraph"/>
        <w:numPr>
          <w:ilvl w:val="0"/>
          <w:numId w:val="1"/>
        </w:numPr>
        <w:spacing w:after="60"/>
      </w:pPr>
      <w:r>
        <w:rPr>
          <w:rFonts w:ascii="Calibri" w:cs="Calibri" w:eastAsia="Calibri" w:hAnsi="Calibri"/>
          <w:b w:val="false"/>
          <w:bCs w:val="false"/>
          <w:color w:val="333333"/>
          <w:sz w:val="20"/>
          <w:szCs w:val="20"/>
        </w:rPr>
        <w:t xml:space="preserve">Banner de preguntas frecuentes para el portal.</w:t>
      </w:r>
    </w:p>
    <w:p>
      <w:pPr>
        <w:pStyle w:val="ListParagraph"/>
        <w:numPr>
          <w:ilvl w:val="0"/>
          <w:numId w:val="1"/>
        </w:numPr>
        <w:spacing w:after="60"/>
      </w:pPr>
      <w:r>
        <w:rPr>
          <w:rFonts w:ascii="Calibri" w:cs="Calibri" w:eastAsia="Calibri" w:hAnsi="Calibri"/>
          <w:b w:val="false"/>
          <w:bCs w:val="false"/>
          <w:color w:val="333333"/>
          <w:sz w:val="20"/>
          <w:szCs w:val="20"/>
        </w:rPr>
        <w:t xml:space="preserve">Señalización física para Conexión Académica, y códigos QR hacia los canales digitales.</w:t>
      </w:r>
    </w:p>
    <w:p>
      <w:pPr>
        <w:pStyle w:val="ListParagraph"/>
        <w:numPr>
          <w:ilvl w:val="0"/>
          <w:numId w:val="1"/>
        </w:numPr>
        <w:spacing w:after="60"/>
      </w:pPr>
      <w:r>
        <w:rPr>
          <w:rFonts w:ascii="Calibri" w:cs="Calibri" w:eastAsia="Calibri" w:hAnsi="Calibri"/>
          <w:b w:val="false"/>
          <w:bCs w:val="false"/>
          <w:color w:val="333333"/>
          <w:sz w:val="20"/>
          <w:szCs w:val="20"/>
        </w:rPr>
        <w:t xml:space="preserve">Piezas internas: guiones y carteles que refuercen el compromiso de “0 obstáculos” y el trato cercano en todos los canales.</w:t>
      </w:r>
    </w:p>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2026-08-03T12:27:14.247Z</dcterms:created>
  <dcterms:modified xsi:type="dcterms:W3CDTF">2026-08-03T12:27:14.266Z</dcterms:modified>
</cp:coreProperties>
</file>

<file path=docProps/custom.xml><?xml version="1.0" encoding="utf-8"?>
<Properties xmlns="http://schemas.openxmlformats.org/officeDocument/2006/custom-properties" xmlns:vt="http://schemas.openxmlformats.org/officeDocument/2006/docPropsVTypes"/>
</file>