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6452" w14:textId="77777777" w:rsidR="00781EBD" w:rsidRDefault="00000000">
      <w:pPr>
        <w:keepNext/>
        <w:spacing w:after="60"/>
      </w:pPr>
      <w:r>
        <w:rPr>
          <w:b/>
          <w:bCs/>
          <w:color w:val="E8620A"/>
          <w:spacing w:val="40"/>
          <w:sz w:val="18"/>
          <w:szCs w:val="18"/>
        </w:rPr>
        <w:t>CAMPAÑA VISITA EQUAA 2026</w:t>
      </w:r>
    </w:p>
    <w:p w14:paraId="60C08B96" w14:textId="6F3470FE" w:rsidR="00781EBD" w:rsidRDefault="00000000" w:rsidP="00E47945">
      <w:pPr>
        <w:spacing w:after="80"/>
      </w:pPr>
      <w:r>
        <w:rPr>
          <w:rFonts w:ascii="Georgia" w:eastAsia="Georgia" w:hAnsi="Georgia" w:cs="Georgia"/>
          <w:b/>
          <w:bCs/>
          <w:color w:val="1A1A1A"/>
          <w:sz w:val="44"/>
          <w:szCs w:val="44"/>
        </w:rPr>
        <w:t>Carrusel para redes sociales</w:t>
      </w:r>
    </w:p>
    <w:tbl>
      <w:tblPr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800"/>
        <w:gridCol w:w="6600"/>
        <w:gridCol w:w="3580"/>
      </w:tblGrid>
      <w:tr w:rsidR="00781EBD" w14:paraId="1EB2FF1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shd w:val="clear" w:color="auto" w:fill="1A1A1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5B7EA7C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Lám.</w:t>
            </w:r>
          </w:p>
        </w:tc>
        <w:tc>
          <w:tcPr>
            <w:tcW w:w="28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shd w:val="clear" w:color="auto" w:fill="1A1A1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BAB6D98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Titular en la pieza</w:t>
            </w:r>
          </w:p>
        </w:tc>
        <w:tc>
          <w:tcPr>
            <w:tcW w:w="66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shd w:val="clear" w:color="auto" w:fill="1A1A1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A980BD4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Texto de apoyo</w:t>
            </w:r>
          </w:p>
        </w:tc>
        <w:tc>
          <w:tcPr>
            <w:tcW w:w="358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shd w:val="clear" w:color="auto" w:fill="1A1A1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60A92EA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Indicación visual</w:t>
            </w:r>
          </w:p>
        </w:tc>
      </w:tr>
      <w:tr w:rsidR="00781EBD" w14:paraId="7812A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3F1C8C9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1</w:t>
            </w:r>
          </w:p>
        </w:tc>
        <w:tc>
          <w:tcPr>
            <w:tcW w:w="28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DB0AB45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¿Sabías que la USB recibe una visita internacional?</w:t>
            </w:r>
          </w:p>
        </w:tc>
        <w:tc>
          <w:tcPr>
            <w:tcW w:w="66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67F2510" w14:textId="2F700F8D" w:rsidR="00C00B07" w:rsidRDefault="00000000">
            <w:pPr>
              <w:spacing w:after="40" w:line="276" w:lineRule="auto"/>
              <w:rPr>
                <w:color w:val="1A1A1A"/>
                <w:sz w:val="18"/>
                <w:szCs w:val="18"/>
              </w:rPr>
            </w:pPr>
            <w:r>
              <w:rPr>
                <w:color w:val="1A1A1A"/>
                <w:sz w:val="18"/>
                <w:szCs w:val="18"/>
              </w:rPr>
              <w:t>Del 28 de septiembre al 2 de octubre, EQUAA llega a la Universidad</w:t>
            </w:r>
          </w:p>
          <w:p w14:paraId="05267556" w14:textId="77777777" w:rsidR="00C00B07" w:rsidRDefault="00C00B07">
            <w:pPr>
              <w:spacing w:after="40" w:line="276" w:lineRule="auto"/>
              <w:rPr>
                <w:color w:val="1A1A1A"/>
                <w:sz w:val="18"/>
                <w:szCs w:val="18"/>
              </w:rPr>
            </w:pPr>
          </w:p>
          <w:p w14:paraId="7DA7779D" w14:textId="50C8268B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Desliza y conoce todo</w:t>
            </w:r>
          </w:p>
        </w:tc>
        <w:tc>
          <w:tcPr>
            <w:tcW w:w="358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CA4C47D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Portada. Paloma dorada y lema «Calidad que trasciende fronteras». Fechas en gran formato: 28 SEP – 2 OCT. Flecha de «desliza».</w:t>
            </w:r>
          </w:p>
        </w:tc>
      </w:tr>
      <w:tr w:rsidR="00781EBD" w14:paraId="7E87C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F5E605B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2</w:t>
            </w:r>
          </w:p>
        </w:tc>
        <w:tc>
          <w:tcPr>
            <w:tcW w:w="28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2A37EC3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¿Qué es EQUAA?</w:t>
            </w:r>
          </w:p>
        </w:tc>
        <w:tc>
          <w:tcPr>
            <w:tcW w:w="66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542FAD9" w14:textId="65AAEFF6" w:rsidR="00781EBD" w:rsidRDefault="00000000">
            <w:pPr>
              <w:spacing w:after="40" w:line="276" w:lineRule="auto"/>
            </w:pPr>
            <w:proofErr w:type="spellStart"/>
            <w:r>
              <w:rPr>
                <w:color w:val="1A1A1A"/>
                <w:sz w:val="18"/>
                <w:szCs w:val="18"/>
              </w:rPr>
              <w:t>Education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Quality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A1A1A"/>
                <w:sz w:val="18"/>
                <w:szCs w:val="18"/>
              </w:rPr>
              <w:t>Accreditation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Agency: una agencia internacional</w:t>
            </w:r>
            <w:r w:rsidR="00E47945">
              <w:rPr>
                <w:color w:val="1A1A1A"/>
                <w:sz w:val="18"/>
                <w:szCs w:val="18"/>
              </w:rPr>
              <w:t xml:space="preserve"> </w:t>
            </w:r>
            <w:r>
              <w:rPr>
                <w:color w:val="1A1A1A"/>
                <w:sz w:val="18"/>
                <w:szCs w:val="18"/>
              </w:rPr>
              <w:t>que evalúa la calidad y la internacionalización de la educación superior. Complementa —no reemplaza— la acreditación del CNA.</w:t>
            </w:r>
          </w:p>
        </w:tc>
        <w:tc>
          <w:tcPr>
            <w:tcW w:w="358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59E21E9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Logo EQUAA y globo terráqueo en línea fina. Resaltar en naranja las palabras «internacional» y «voluntaria».</w:t>
            </w:r>
          </w:p>
        </w:tc>
      </w:tr>
      <w:tr w:rsidR="00781EBD" w14:paraId="4FE7A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91C4376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3</w:t>
            </w:r>
          </w:p>
        </w:tc>
        <w:tc>
          <w:tcPr>
            <w:tcW w:w="28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C54D705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¿Por qué es importante para la USB?</w:t>
            </w:r>
          </w:p>
        </w:tc>
        <w:tc>
          <w:tcPr>
            <w:tcW w:w="66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DC9836E" w14:textId="5E25E7A4" w:rsidR="00781EBD" w:rsidRDefault="00000000">
            <w:pPr>
              <w:pStyle w:val="Prrafodelista"/>
              <w:numPr>
                <w:ilvl w:val="0"/>
                <w:numId w:val="2"/>
              </w:num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 xml:space="preserve">Verifica lo que la Institución </w:t>
            </w:r>
            <w:r w:rsidR="00E47945">
              <w:rPr>
                <w:color w:val="1A1A1A"/>
                <w:sz w:val="18"/>
                <w:szCs w:val="18"/>
              </w:rPr>
              <w:t>declara en su misión</w:t>
            </w:r>
            <w:r>
              <w:rPr>
                <w:color w:val="1A1A1A"/>
                <w:sz w:val="18"/>
                <w:szCs w:val="18"/>
              </w:rPr>
              <w:t>.</w:t>
            </w:r>
          </w:p>
          <w:p w14:paraId="26C3D7AC" w14:textId="77777777" w:rsidR="00781EBD" w:rsidRDefault="00000000">
            <w:pPr>
              <w:pStyle w:val="Prrafodelista"/>
              <w:numPr>
                <w:ilvl w:val="0"/>
                <w:numId w:val="2"/>
              </w:num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Aporta una mirada internacional y reconocimiento global.</w:t>
            </w:r>
          </w:p>
          <w:p w14:paraId="4235AA9D" w14:textId="77777777" w:rsidR="00781EBD" w:rsidRDefault="00000000">
            <w:pPr>
              <w:pStyle w:val="Prrafodelista"/>
              <w:numPr>
                <w:ilvl w:val="0"/>
                <w:numId w:val="2"/>
              </w:num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Sus recomendaciones alimentan nuestro plan de mejora continua.</w:t>
            </w:r>
          </w:p>
        </w:tc>
        <w:tc>
          <w:tcPr>
            <w:tcW w:w="358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FDF2DAB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Tres íconos en fila con su frase: lupa, globo y flecha ascendente.</w:t>
            </w:r>
          </w:p>
        </w:tc>
      </w:tr>
      <w:tr w:rsidR="00781EBD" w14:paraId="08F3C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581DF02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4</w:t>
            </w:r>
          </w:p>
        </w:tc>
        <w:tc>
          <w:tcPr>
            <w:tcW w:w="28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255072C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Cinco dimensiones, una mirada integral</w:t>
            </w:r>
          </w:p>
        </w:tc>
        <w:tc>
          <w:tcPr>
            <w:tcW w:w="66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3010CB5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I · Propuesta Estratégica:</w:t>
            </w:r>
            <w:r>
              <w:rPr>
                <w:color w:val="1A1A1A"/>
                <w:sz w:val="18"/>
                <w:szCs w:val="18"/>
              </w:rPr>
              <w:t xml:space="preserve"> planeación y programas</w:t>
            </w:r>
          </w:p>
          <w:p w14:paraId="0A5160E9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II · Académica:</w:t>
            </w:r>
            <w:r>
              <w:rPr>
                <w:color w:val="1A1A1A"/>
                <w:sz w:val="18"/>
                <w:szCs w:val="18"/>
              </w:rPr>
              <w:t xml:space="preserve"> currículo y docentes</w:t>
            </w:r>
          </w:p>
          <w:p w14:paraId="6EFF8682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III · Soporte Institucional:</w:t>
            </w:r>
            <w:r>
              <w:rPr>
                <w:color w:val="1A1A1A"/>
                <w:sz w:val="18"/>
                <w:szCs w:val="18"/>
              </w:rPr>
              <w:t xml:space="preserve"> autoevaluación, gestión financiera e infraestructura</w:t>
            </w:r>
          </w:p>
          <w:p w14:paraId="5BD82E73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IV · Producción Intelectual:</w:t>
            </w:r>
            <w:r>
              <w:rPr>
                <w:color w:val="1A1A1A"/>
                <w:sz w:val="18"/>
                <w:szCs w:val="18"/>
              </w:rPr>
              <w:t xml:space="preserve"> investigación docente y estudiantil</w:t>
            </w:r>
          </w:p>
          <w:p w14:paraId="0F7ACA1F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V · Inclusión Social:</w:t>
            </w:r>
            <w:r>
              <w:rPr>
                <w:color w:val="1A1A1A"/>
                <w:sz w:val="18"/>
                <w:szCs w:val="18"/>
              </w:rPr>
              <w:t xml:space="preserve"> bienestar, becas y aporte a la sociedad</w:t>
            </w:r>
          </w:p>
        </w:tc>
        <w:tc>
          <w:tcPr>
            <w:tcW w:w="358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4A8C0A7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Cinco tarjetas numeradas de I a V, cada una con un ícono. Sin cifras ni resultados.</w:t>
            </w:r>
          </w:p>
        </w:tc>
      </w:tr>
      <w:tr w:rsidR="00781EBD" w14:paraId="782C57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BEA61B6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5</w:t>
            </w:r>
          </w:p>
        </w:tc>
        <w:tc>
          <w:tcPr>
            <w:tcW w:w="28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9B3292E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¿Cómo nos beneficiamos?</w:t>
            </w:r>
          </w:p>
        </w:tc>
        <w:tc>
          <w:tcPr>
            <w:tcW w:w="66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93FAE0B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Estudiantes:</w:t>
            </w:r>
            <w:r>
              <w:rPr>
                <w:color w:val="1A1A1A"/>
                <w:sz w:val="18"/>
                <w:szCs w:val="18"/>
              </w:rPr>
              <w:t xml:space="preserve"> reconocimiento de tu formación, movilidad y doble titulación.</w:t>
            </w:r>
          </w:p>
          <w:p w14:paraId="0B0497CB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Docentes:</w:t>
            </w:r>
            <w:r>
              <w:rPr>
                <w:color w:val="1A1A1A"/>
                <w:sz w:val="18"/>
                <w:szCs w:val="18"/>
              </w:rPr>
              <w:t xml:space="preserve"> cooperación internacional, visibilidad de tu trabajo y redes académicas.</w:t>
            </w:r>
          </w:p>
          <w:p w14:paraId="4A3FF846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Egresados:</w:t>
            </w:r>
            <w:r>
              <w:rPr>
                <w:color w:val="1A1A1A"/>
                <w:sz w:val="18"/>
                <w:szCs w:val="18"/>
              </w:rPr>
              <w:t xml:space="preserve"> mayor reconocimiento profesional y mejores oportunidades de posgrado y empleo.</w:t>
            </w:r>
          </w:p>
        </w:tc>
        <w:tc>
          <w:tcPr>
            <w:tcW w:w="358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32471BF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Tres columnas con ícono: birrete, libro con red y maletín.</w:t>
            </w:r>
          </w:p>
        </w:tc>
      </w:tr>
      <w:tr w:rsidR="00781EBD" w14:paraId="53E94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8248171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6</w:t>
            </w:r>
          </w:p>
        </w:tc>
        <w:tc>
          <w:tcPr>
            <w:tcW w:w="28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B86A6CB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¿Cuándo nos visita?</w:t>
            </w:r>
          </w:p>
        </w:tc>
        <w:tc>
          <w:tcPr>
            <w:tcW w:w="660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7B96BF3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28 y 29 de septiembre:</w:t>
            </w:r>
            <w:r>
              <w:rPr>
                <w:color w:val="1A1A1A"/>
                <w:sz w:val="18"/>
                <w:szCs w:val="18"/>
              </w:rPr>
              <w:t xml:space="preserve"> Bogotá</w:t>
            </w:r>
          </w:p>
          <w:p w14:paraId="2F6F1794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30 de septiembre:</w:t>
            </w:r>
            <w:r>
              <w:rPr>
                <w:color w:val="1A1A1A"/>
                <w:sz w:val="18"/>
                <w:szCs w:val="18"/>
              </w:rPr>
              <w:t xml:space="preserve"> Cali</w:t>
            </w:r>
          </w:p>
          <w:p w14:paraId="53E85B7C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1 de octubre:</w:t>
            </w:r>
            <w:r>
              <w:rPr>
                <w:color w:val="1A1A1A"/>
                <w:sz w:val="18"/>
                <w:szCs w:val="18"/>
              </w:rPr>
              <w:t xml:space="preserve"> Medellín (</w:t>
            </w:r>
            <w:proofErr w:type="gramStart"/>
            <w:r>
              <w:rPr>
                <w:color w:val="1A1A1A"/>
                <w:sz w:val="18"/>
                <w:szCs w:val="18"/>
              </w:rPr>
              <w:t>Hub</w:t>
            </w:r>
            <w:proofErr w:type="gramEnd"/>
            <w:r>
              <w:rPr>
                <w:color w:val="1A1A1A"/>
                <w:sz w:val="18"/>
                <w:szCs w:val="18"/>
              </w:rPr>
              <w:t xml:space="preserve"> Los Molinos, Bello) y Cartagena</w:t>
            </w:r>
          </w:p>
          <w:p w14:paraId="140A9245" w14:textId="77777777" w:rsidR="00781EBD" w:rsidRDefault="00000000">
            <w:pPr>
              <w:spacing w:after="40" w:line="276" w:lineRule="auto"/>
            </w:pPr>
            <w:r>
              <w:rPr>
                <w:b/>
                <w:bCs/>
                <w:color w:val="1A1A1A"/>
                <w:sz w:val="18"/>
                <w:szCs w:val="18"/>
              </w:rPr>
              <w:t>2 de octubre:</w:t>
            </w:r>
            <w:r>
              <w:rPr>
                <w:color w:val="1A1A1A"/>
                <w:sz w:val="18"/>
                <w:szCs w:val="18"/>
              </w:rPr>
              <w:t xml:space="preserve"> cierre en Bogotá</w:t>
            </w:r>
          </w:p>
          <w:p w14:paraId="749A1BF5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>Si te convocan a un conversatorio, tu voz cuenta. Conoce más en el enlace de la bio.</w:t>
            </w:r>
          </w:p>
        </w:tc>
        <w:tc>
          <w:tcPr>
            <w:tcW w:w="3580" w:type="dxa"/>
            <w:tcBorders>
              <w:top w:val="single" w:sz="4" w:space="0" w:color="D8D2CB"/>
              <w:left w:val="single" w:sz="4" w:space="0" w:color="D8D2CB"/>
              <w:bottom w:val="single" w:sz="4" w:space="0" w:color="D8D2CB"/>
              <w:right w:val="single" w:sz="4" w:space="0" w:color="D8D2C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72F7D5D" w14:textId="77777777" w:rsidR="00781EBD" w:rsidRDefault="00000000">
            <w:pPr>
              <w:spacing w:after="40" w:line="276" w:lineRule="auto"/>
            </w:pPr>
            <w:r>
              <w:rPr>
                <w:color w:val="1A1A1A"/>
                <w:sz w:val="18"/>
                <w:szCs w:val="18"/>
              </w:rPr>
              <w:t xml:space="preserve">Línea de tiempo de cinco días con puntos naranja y mapa de Colombia con cuatro ciudades; Medellín resaltada. Cierre con logo USB, lema «Caminamos juntos para transformarnos» y sello «Vigilada </w:t>
            </w:r>
            <w:proofErr w:type="spellStart"/>
            <w:r>
              <w:rPr>
                <w:color w:val="1A1A1A"/>
                <w:sz w:val="18"/>
                <w:szCs w:val="18"/>
              </w:rPr>
              <w:t>MinEducación</w:t>
            </w:r>
            <w:proofErr w:type="spellEnd"/>
            <w:r>
              <w:rPr>
                <w:color w:val="1A1A1A"/>
                <w:sz w:val="18"/>
                <w:szCs w:val="18"/>
              </w:rPr>
              <w:t>».</w:t>
            </w:r>
          </w:p>
        </w:tc>
      </w:tr>
    </w:tbl>
    <w:p w14:paraId="36531E43" w14:textId="77777777" w:rsidR="0021745F" w:rsidRDefault="0021745F"/>
    <w:sectPr w:rsidR="0021745F">
      <w:footerReference w:type="default" r:id="rId7"/>
      <w:pgSz w:w="15840" w:h="12240" w:orient="landscape"/>
      <w:pgMar w:top="1300" w:right="1080" w:bottom="1100" w:left="108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C94C5" w14:textId="77777777" w:rsidR="0021745F" w:rsidRDefault="0021745F">
      <w:r>
        <w:separator/>
      </w:r>
    </w:p>
  </w:endnote>
  <w:endnote w:type="continuationSeparator" w:id="0">
    <w:p w14:paraId="03537377" w14:textId="77777777" w:rsidR="0021745F" w:rsidRDefault="0021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ED1DE" w14:textId="77777777" w:rsidR="00781EBD" w:rsidRDefault="00000000">
    <w:pPr>
      <w:pBdr>
        <w:top w:val="single" w:sz="4" w:space="4" w:color="D8D2CB"/>
      </w:pBdr>
      <w:tabs>
        <w:tab w:val="right" w:pos="13680"/>
      </w:tabs>
    </w:pPr>
    <w:r>
      <w:rPr>
        <w:color w:val="5F5F5F"/>
        <w:sz w:val="15"/>
        <w:szCs w:val="15"/>
      </w:rPr>
      <w:t xml:space="preserve">Calidad que trasciende </w:t>
    </w:r>
    <w:proofErr w:type="gramStart"/>
    <w:r>
      <w:rPr>
        <w:color w:val="5F5F5F"/>
        <w:sz w:val="15"/>
        <w:szCs w:val="15"/>
      </w:rPr>
      <w:t>fronteras  ·</w:t>
    </w:r>
    <w:proofErr w:type="gramEnd"/>
    <w:r>
      <w:rPr>
        <w:color w:val="5F5F5F"/>
        <w:sz w:val="15"/>
        <w:szCs w:val="15"/>
      </w:rPr>
      <w:t xml:space="preserve">  Vigilada </w:t>
    </w:r>
    <w:proofErr w:type="spellStart"/>
    <w:r>
      <w:rPr>
        <w:color w:val="5F5F5F"/>
        <w:sz w:val="15"/>
        <w:szCs w:val="15"/>
      </w:rPr>
      <w:t>MinEducación</w:t>
    </w:r>
    <w:proofErr w:type="spellEnd"/>
    <w:r>
      <w:rPr>
        <w:color w:val="5F5F5F"/>
        <w:sz w:val="15"/>
        <w:szCs w:val="15"/>
      </w:rPr>
      <w:tab/>
      <w:t xml:space="preserve">Página </w:t>
    </w:r>
    <w:r>
      <w:rPr>
        <w:color w:val="5F5F5F"/>
        <w:sz w:val="15"/>
        <w:szCs w:val="15"/>
      </w:rPr>
      <w:fldChar w:fldCharType="begin"/>
    </w:r>
    <w:r>
      <w:rPr>
        <w:color w:val="5F5F5F"/>
        <w:sz w:val="15"/>
        <w:szCs w:val="15"/>
      </w:rPr>
      <w:instrText>PAGE</w:instrText>
    </w:r>
    <w:r>
      <w:rPr>
        <w:color w:val="5F5F5F"/>
        <w:sz w:val="15"/>
        <w:szCs w:val="15"/>
      </w:rPr>
      <w:fldChar w:fldCharType="separate"/>
    </w:r>
    <w:r w:rsidR="00E47945">
      <w:rPr>
        <w:noProof/>
        <w:color w:val="5F5F5F"/>
        <w:sz w:val="15"/>
        <w:szCs w:val="15"/>
      </w:rPr>
      <w:t>1</w:t>
    </w:r>
    <w:r>
      <w:rPr>
        <w:color w:val="5F5F5F"/>
        <w:sz w:val="15"/>
        <w:szCs w:val="15"/>
      </w:rPr>
      <w:fldChar w:fldCharType="end"/>
    </w:r>
    <w:r>
      <w:rPr>
        <w:color w:val="5F5F5F"/>
        <w:sz w:val="15"/>
        <w:szCs w:val="15"/>
      </w:rPr>
      <w:t xml:space="preserve"> de </w:t>
    </w:r>
    <w:r>
      <w:rPr>
        <w:color w:val="5F5F5F"/>
        <w:sz w:val="15"/>
        <w:szCs w:val="15"/>
      </w:rPr>
      <w:fldChar w:fldCharType="begin"/>
    </w:r>
    <w:r>
      <w:rPr>
        <w:color w:val="5F5F5F"/>
        <w:sz w:val="15"/>
        <w:szCs w:val="15"/>
      </w:rPr>
      <w:instrText>NUMPAGES</w:instrText>
    </w:r>
    <w:r>
      <w:rPr>
        <w:color w:val="5F5F5F"/>
        <w:sz w:val="15"/>
        <w:szCs w:val="15"/>
      </w:rPr>
      <w:fldChar w:fldCharType="separate"/>
    </w:r>
    <w:r w:rsidR="00E47945">
      <w:rPr>
        <w:noProof/>
        <w:color w:val="5F5F5F"/>
        <w:sz w:val="15"/>
        <w:szCs w:val="15"/>
      </w:rPr>
      <w:t>2</w:t>
    </w:r>
    <w:r>
      <w:rPr>
        <w:color w:val="5F5F5F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E33F4" w14:textId="77777777" w:rsidR="0021745F" w:rsidRDefault="0021745F">
      <w:r>
        <w:separator/>
      </w:r>
    </w:p>
  </w:footnote>
  <w:footnote w:type="continuationSeparator" w:id="0">
    <w:p w14:paraId="52E87742" w14:textId="77777777" w:rsidR="0021745F" w:rsidRDefault="00217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B7089"/>
    <w:multiLevelType w:val="hybridMultilevel"/>
    <w:tmpl w:val="1D989846"/>
    <w:lvl w:ilvl="0" w:tplc="571E919E">
      <w:start w:val="1"/>
      <w:numFmt w:val="bullet"/>
      <w:lvlText w:val="•"/>
      <w:lvlJc w:val="left"/>
      <w:pPr>
        <w:ind w:left="400" w:hanging="240"/>
      </w:pPr>
      <w:rPr>
        <w:b/>
        <w:bCs/>
        <w:color w:val="E8620A"/>
      </w:rPr>
    </w:lvl>
    <w:lvl w:ilvl="1" w:tplc="E35C0588">
      <w:start w:val="1"/>
      <w:numFmt w:val="bullet"/>
      <w:lvlText w:val="–"/>
      <w:lvlJc w:val="left"/>
      <w:pPr>
        <w:ind w:left="800" w:hanging="240"/>
      </w:pPr>
      <w:rPr>
        <w:color w:val="E8620A"/>
      </w:rPr>
    </w:lvl>
    <w:lvl w:ilvl="2" w:tplc="AAD2D25C">
      <w:numFmt w:val="decimal"/>
      <w:lvlText w:val=""/>
      <w:lvlJc w:val="left"/>
    </w:lvl>
    <w:lvl w:ilvl="3" w:tplc="A2900B7A">
      <w:numFmt w:val="decimal"/>
      <w:lvlText w:val=""/>
      <w:lvlJc w:val="left"/>
    </w:lvl>
    <w:lvl w:ilvl="4" w:tplc="A3D6C54C">
      <w:numFmt w:val="decimal"/>
      <w:lvlText w:val=""/>
      <w:lvlJc w:val="left"/>
    </w:lvl>
    <w:lvl w:ilvl="5" w:tplc="98B61CC0">
      <w:numFmt w:val="decimal"/>
      <w:lvlText w:val=""/>
      <w:lvlJc w:val="left"/>
    </w:lvl>
    <w:lvl w:ilvl="6" w:tplc="313C2DBC">
      <w:numFmt w:val="decimal"/>
      <w:lvlText w:val=""/>
      <w:lvlJc w:val="left"/>
    </w:lvl>
    <w:lvl w:ilvl="7" w:tplc="D316901A">
      <w:numFmt w:val="decimal"/>
      <w:lvlText w:val=""/>
      <w:lvlJc w:val="left"/>
    </w:lvl>
    <w:lvl w:ilvl="8" w:tplc="DAFEE084">
      <w:numFmt w:val="decimal"/>
      <w:lvlText w:val=""/>
      <w:lvlJc w:val="left"/>
    </w:lvl>
  </w:abstractNum>
  <w:abstractNum w:abstractNumId="1" w15:restartNumberingAfterBreak="0">
    <w:nsid w:val="3AB32FBD"/>
    <w:multiLevelType w:val="hybridMultilevel"/>
    <w:tmpl w:val="64F0E196"/>
    <w:lvl w:ilvl="0" w:tplc="C174309A">
      <w:start w:val="1"/>
      <w:numFmt w:val="bullet"/>
      <w:lvlText w:val="●"/>
      <w:lvlJc w:val="left"/>
      <w:pPr>
        <w:ind w:left="720" w:hanging="360"/>
      </w:pPr>
    </w:lvl>
    <w:lvl w:ilvl="1" w:tplc="10B65B5A">
      <w:start w:val="1"/>
      <w:numFmt w:val="bullet"/>
      <w:lvlText w:val="○"/>
      <w:lvlJc w:val="left"/>
      <w:pPr>
        <w:ind w:left="1440" w:hanging="360"/>
      </w:pPr>
    </w:lvl>
    <w:lvl w:ilvl="2" w:tplc="E2E296F6">
      <w:start w:val="1"/>
      <w:numFmt w:val="bullet"/>
      <w:lvlText w:val="■"/>
      <w:lvlJc w:val="left"/>
      <w:pPr>
        <w:ind w:left="2160" w:hanging="360"/>
      </w:pPr>
    </w:lvl>
    <w:lvl w:ilvl="3" w:tplc="E154F880">
      <w:start w:val="1"/>
      <w:numFmt w:val="bullet"/>
      <w:lvlText w:val="●"/>
      <w:lvlJc w:val="left"/>
      <w:pPr>
        <w:ind w:left="2880" w:hanging="360"/>
      </w:pPr>
    </w:lvl>
    <w:lvl w:ilvl="4" w:tplc="C8E0E052">
      <w:start w:val="1"/>
      <w:numFmt w:val="bullet"/>
      <w:lvlText w:val="○"/>
      <w:lvlJc w:val="left"/>
      <w:pPr>
        <w:ind w:left="3600" w:hanging="360"/>
      </w:pPr>
    </w:lvl>
    <w:lvl w:ilvl="5" w:tplc="60F4C7F8">
      <w:start w:val="1"/>
      <w:numFmt w:val="bullet"/>
      <w:lvlText w:val="■"/>
      <w:lvlJc w:val="left"/>
      <w:pPr>
        <w:ind w:left="4320" w:hanging="360"/>
      </w:pPr>
    </w:lvl>
    <w:lvl w:ilvl="6" w:tplc="FB9C4406">
      <w:start w:val="1"/>
      <w:numFmt w:val="bullet"/>
      <w:lvlText w:val="●"/>
      <w:lvlJc w:val="left"/>
      <w:pPr>
        <w:ind w:left="5040" w:hanging="360"/>
      </w:pPr>
    </w:lvl>
    <w:lvl w:ilvl="7" w:tplc="2E7CB3C0">
      <w:start w:val="1"/>
      <w:numFmt w:val="bullet"/>
      <w:lvlText w:val="●"/>
      <w:lvlJc w:val="left"/>
      <w:pPr>
        <w:ind w:left="5760" w:hanging="360"/>
      </w:pPr>
    </w:lvl>
    <w:lvl w:ilvl="8" w:tplc="5CD6E8EA">
      <w:start w:val="1"/>
      <w:numFmt w:val="bullet"/>
      <w:lvlText w:val="●"/>
      <w:lvlJc w:val="left"/>
      <w:pPr>
        <w:ind w:left="6480" w:hanging="360"/>
      </w:pPr>
    </w:lvl>
  </w:abstractNum>
  <w:num w:numId="1" w16cid:durableId="1460223993">
    <w:abstractNumId w:val="1"/>
    <w:lvlOverride w:ilvl="0">
      <w:startOverride w:val="1"/>
    </w:lvlOverride>
  </w:num>
  <w:num w:numId="2" w16cid:durableId="12009001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EBD"/>
    <w:rsid w:val="0021745F"/>
    <w:rsid w:val="00781EBD"/>
    <w:rsid w:val="00C00B07"/>
    <w:rsid w:val="00E47945"/>
    <w:rsid w:val="00F3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7AD0"/>
  <w15:docId w15:val="{AEE915EF-618D-47ED-BA7D-5A6F6E14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80" w:after="140"/>
      <w:outlineLvl w:val="0"/>
    </w:pPr>
    <w:rPr>
      <w:rFonts w:ascii="Georgia" w:eastAsia="Georgia" w:hAnsi="Georgia" w:cs="Georgia"/>
      <w:b/>
      <w:bCs/>
      <w:sz w:val="32"/>
      <w:szCs w:val="32"/>
    </w:rPr>
  </w:style>
  <w:style w:type="paragraph" w:styleId="Ttulo2">
    <w:name w:val="heading 2"/>
    <w:uiPriority w:val="9"/>
    <w:semiHidden/>
    <w:unhideWhenUsed/>
    <w:qFormat/>
    <w:pPr>
      <w:spacing w:before="240" w:after="100"/>
      <w:outlineLvl w:val="1"/>
    </w:pPr>
    <w:rPr>
      <w:rFonts w:ascii="Georgia" w:eastAsia="Georgia" w:hAnsi="Georgia" w:cs="Georgia"/>
      <w:b/>
      <w:bCs/>
      <w:sz w:val="25"/>
      <w:szCs w:val="25"/>
    </w:rPr>
  </w:style>
  <w:style w:type="paragraph" w:styleId="Ttulo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sz w:val="22"/>
      <w:szCs w:val="22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479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7945"/>
  </w:style>
  <w:style w:type="paragraph" w:styleId="Piedepgina">
    <w:name w:val="footer"/>
    <w:basedOn w:val="Normal"/>
    <w:link w:val="PiedepginaCar"/>
    <w:uiPriority w:val="99"/>
    <w:unhideWhenUsed/>
    <w:rsid w:val="00E479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1871</Characters>
  <Application>Microsoft Office Word</Application>
  <DocSecurity>0</DocSecurity>
  <Lines>207</Lines>
  <Paragraphs>219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Carrusel Visita EQUAA 2026</dc:title>
  <dc:creator>Dirección de Comunicaciones y Mercadeo — USB</dc:creator>
  <cp:lastModifiedBy>Sandra Milena Arias.</cp:lastModifiedBy>
  <cp:revision>3</cp:revision>
  <dcterms:created xsi:type="dcterms:W3CDTF">2026-09-18T23:31:00Z</dcterms:created>
  <dcterms:modified xsi:type="dcterms:W3CDTF">2026-09-18T23:31:00Z</dcterms:modified>
</cp:coreProperties>
</file>