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02A8C" w14:textId="77777777" w:rsidR="00572F8E" w:rsidRPr="00104FAF" w:rsidRDefault="00000000">
      <w:pPr>
        <w:pStyle w:val="Ttulo"/>
        <w:rPr>
          <w:lang w:val="es-CO"/>
        </w:rPr>
      </w:pP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 xml:space="preserve"> — Bloque 1: calidad de conducción, seguridad y póliza</w:t>
      </w:r>
    </w:p>
    <w:p w14:paraId="450CFE46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>Síntesis técnica alineada con las diapositivas 3 y 4 de «</w:t>
      </w: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 xml:space="preserve"> </w:t>
      </w:r>
      <w:proofErr w:type="spellStart"/>
      <w:r w:rsidRPr="00104FAF">
        <w:rPr>
          <w:lang w:val="es-CO"/>
        </w:rPr>
        <w:t>Telemetry</w:t>
      </w:r>
      <w:proofErr w:type="spellEnd"/>
      <w:r w:rsidRPr="00104FAF">
        <w:rPr>
          <w:lang w:val="es-CO"/>
        </w:rPr>
        <w:t xml:space="preserve"> </w:t>
      </w:r>
      <w:proofErr w:type="spellStart"/>
      <w:r w:rsidRPr="00104FAF">
        <w:rPr>
          <w:lang w:val="es-CO"/>
        </w:rPr>
        <w:t>Blueprint</w:t>
      </w:r>
      <w:proofErr w:type="spellEnd"/>
      <w:r w:rsidRPr="00104FAF">
        <w:rPr>
          <w:lang w:val="es-CO"/>
        </w:rPr>
        <w:t xml:space="preserve">». Las cifras con [n] proceden de referencias externas; las reglas propuestas para </w:t>
      </w: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 xml:space="preserve"> se distinguen de las obligaciones normativas.</w:t>
      </w:r>
    </w:p>
    <w:p w14:paraId="1E838CDD" w14:textId="77777777" w:rsidR="00572F8E" w:rsidRPr="00104FAF" w:rsidRDefault="00000000">
      <w:pPr>
        <w:pStyle w:val="Ttulo1"/>
        <w:rPr>
          <w:lang w:val="es-CO"/>
        </w:rPr>
      </w:pPr>
      <w:r w:rsidRPr="00104FAF">
        <w:rPr>
          <w:lang w:val="es-CO"/>
        </w:rPr>
        <w:t>1. Respuestas breves a las siete preguntas</w:t>
      </w:r>
    </w:p>
    <w:p w14:paraId="37BFAE10" w14:textId="6BFDB13A" w:rsidR="00572F8E" w:rsidRPr="00104FAF" w:rsidRDefault="00000000">
      <w:pPr>
        <w:pStyle w:val="Ttulo2"/>
        <w:rPr>
          <w:lang w:val="es-CO"/>
        </w:rPr>
      </w:pPr>
      <w:r w:rsidRPr="00104FAF">
        <w:rPr>
          <w:lang w:val="es-CO"/>
        </w:rPr>
        <w:t xml:space="preserve">1. </w:t>
      </w:r>
      <w:r w:rsidR="00C81343" w:rsidRPr="00C81343">
        <w:rPr>
          <w:lang w:val="es-CO"/>
        </w:rPr>
        <w:t>¿Qué eventos definen una mala conducción y con qué umbrales?</w:t>
      </w:r>
    </w:p>
    <w:p w14:paraId="4F8562FE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 xml:space="preserve">La conducción de riesgo se identifica mediante aceleraciones, frenadas y giros bruscos, exceso de velocidad y ralentí excesivo. Como referencia inicial, </w:t>
      </w:r>
      <w:proofErr w:type="spellStart"/>
      <w:r w:rsidRPr="00104FAF">
        <w:rPr>
          <w:lang w:val="es-CO"/>
        </w:rPr>
        <w:t>Geotab</w:t>
      </w:r>
      <w:proofErr w:type="spellEnd"/>
      <w:r w:rsidRPr="00104FAF">
        <w:rPr>
          <w:lang w:val="es-CO"/>
        </w:rPr>
        <w:t xml:space="preserve"> utiliza para automóviles 0,30 g en aceleración/frenado y 0,42 g en giro; para camiones pesados, 0,20 g y 0,24 g, respectivamente [3]. No son umbrales legales ni universales: </w:t>
      </w: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 xml:space="preserve"> debería parametrizarlos por clase de vehículo. Para velocidad puede compararse la velocidad medida con el límite vial; </w:t>
      </w:r>
      <w:proofErr w:type="spellStart"/>
      <w:r w:rsidRPr="00104FAF">
        <w:rPr>
          <w:lang w:val="es-CO"/>
        </w:rPr>
        <w:t>Geotab</w:t>
      </w:r>
      <w:proofErr w:type="spellEnd"/>
      <w:r w:rsidRPr="00104FAF">
        <w:rPr>
          <w:lang w:val="es-CO"/>
        </w:rPr>
        <w:t xml:space="preserve"> utiliza como regla comercial superar el límite más de 20 % durante más de 5 s [3].</w:t>
      </w:r>
    </w:p>
    <w:p w14:paraId="4B33998B" w14:textId="4626B97F" w:rsidR="00572F8E" w:rsidRPr="00104FAF" w:rsidRDefault="00000000">
      <w:pPr>
        <w:pStyle w:val="Ttulo2"/>
        <w:rPr>
          <w:lang w:val="es-CO"/>
        </w:rPr>
      </w:pPr>
      <w:r w:rsidRPr="00104FAF">
        <w:rPr>
          <w:lang w:val="es-CO"/>
        </w:rPr>
        <w:t xml:space="preserve">2. </w:t>
      </w:r>
      <w:r w:rsidR="00C81343" w:rsidRPr="00C81343">
        <w:rPr>
          <w:lang w:val="es-CO"/>
        </w:rPr>
        <w:t>¿Cómo se mide el confort del viaje?</w:t>
      </w:r>
      <w:r w:rsidRPr="00104FAF">
        <w:rPr>
          <w:lang w:val="es-CO"/>
        </w:rPr>
        <w:t>: diapositiva 3</w:t>
      </w:r>
    </w:p>
    <w:p w14:paraId="15963939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>La diapositiva 3 diferencia vibración vertical, fuerzas laterales y cambios bruscos de aceleración (</w:t>
      </w:r>
      <w:proofErr w:type="spellStart"/>
      <w:r w:rsidRPr="00104FAF">
        <w:rPr>
          <w:lang w:val="es-CO"/>
        </w:rPr>
        <w:t>jerk</w:t>
      </w:r>
      <w:proofErr w:type="spellEnd"/>
      <w:r w:rsidRPr="00104FAF">
        <w:rPr>
          <w:lang w:val="es-CO"/>
        </w:rPr>
        <w:t xml:space="preserve">). ISO 2631-1 trata la exposición humana a vibraciones de cuerpo entero [4]. Con velocidad y tiempo, </w:t>
      </w: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 xml:space="preserve"> puede estimar aceleración a = </w:t>
      </w:r>
      <w:r>
        <w:t>Δ</w:t>
      </w:r>
      <w:r w:rsidRPr="00104FAF">
        <w:rPr>
          <w:lang w:val="es-CO"/>
        </w:rPr>
        <w:t>v/</w:t>
      </w:r>
      <w:r>
        <w:t>Δ</w:t>
      </w:r>
      <w:r w:rsidRPr="00104FAF">
        <w:rPr>
          <w:lang w:val="es-CO"/>
        </w:rPr>
        <w:t xml:space="preserve">t y </w:t>
      </w:r>
      <w:proofErr w:type="spellStart"/>
      <w:r w:rsidRPr="00104FAF">
        <w:rPr>
          <w:lang w:val="es-CO"/>
        </w:rPr>
        <w:t>jerk</w:t>
      </w:r>
      <w:proofErr w:type="spellEnd"/>
      <w:r w:rsidRPr="00104FAF">
        <w:rPr>
          <w:lang w:val="es-CO"/>
        </w:rPr>
        <w:t xml:space="preserve"> j = </w:t>
      </w:r>
      <w:r>
        <w:t>Δ</w:t>
      </w:r>
      <w:r w:rsidRPr="00104FAF">
        <w:rPr>
          <w:lang w:val="es-CO"/>
        </w:rPr>
        <w:t>a/</w:t>
      </w:r>
      <w:r>
        <w:t>Δ</w:t>
      </w:r>
      <w:r w:rsidRPr="00104FAF">
        <w:rPr>
          <w:lang w:val="es-CO"/>
        </w:rPr>
        <w:t>t; esto es solo un indicador indirecto de confort. Una evaluación conforme a ISO 2631 requiere acelerometría e instrumentación apropiada. Queda pendiente establecer los criterios exactos aplicables a la modalidad de exposición evaluada; no se atribuyen umbrales ISO sin verificar su texto técnico.</w:t>
      </w:r>
    </w:p>
    <w:p w14:paraId="3F1DFD60" w14:textId="77777777" w:rsidR="00572F8E" w:rsidRPr="00104FAF" w:rsidRDefault="00000000">
      <w:pPr>
        <w:pStyle w:val="Ttulo2"/>
        <w:rPr>
          <w:lang w:val="es-CO"/>
        </w:rPr>
      </w:pPr>
      <w:r w:rsidRPr="00104FAF">
        <w:rPr>
          <w:lang w:val="es-CO"/>
        </w:rPr>
        <w:t>3. Puntaje del conductor</w:t>
      </w:r>
    </w:p>
    <w:p w14:paraId="7C8E1228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 xml:space="preserve">Las plataformas comerciales ponderan comportamientos de riesgo y exposición al conducir. </w:t>
      </w:r>
      <w:proofErr w:type="spellStart"/>
      <w:r w:rsidRPr="00104FAF">
        <w:rPr>
          <w:lang w:val="es-CO"/>
        </w:rPr>
        <w:t>Progressive</w:t>
      </w:r>
      <w:proofErr w:type="spellEnd"/>
      <w:r w:rsidRPr="00104FAF">
        <w:rPr>
          <w:lang w:val="es-CO"/>
        </w:rPr>
        <w:t xml:space="preserve"> </w:t>
      </w:r>
      <w:proofErr w:type="spellStart"/>
      <w:r w:rsidRPr="00104FAF">
        <w:rPr>
          <w:lang w:val="es-CO"/>
        </w:rPr>
        <w:t>Snapshot</w:t>
      </w:r>
      <w:proofErr w:type="spellEnd"/>
      <w:r w:rsidRPr="00104FAF">
        <w:rPr>
          <w:lang w:val="es-CO"/>
        </w:rPr>
        <w:t xml:space="preserve"> considera, entre otros factores, frenadas, aceleraciones, tiempo de conducción y, según modalidad, interacción con el teléfono [5]. Para </w:t>
      </w: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 xml:space="preserve"> se propone una escala preliminar de 0 a 100, calculada a partir de penalizaciones por severidad y frecuencia de eventos, normalizadas por 100 km. La fórmula y sus ponderaciones serían internas y requerirían calibración, no representan una escala oficial del sector.</w:t>
      </w:r>
    </w:p>
    <w:p w14:paraId="715B70E7" w14:textId="77777777" w:rsidR="00572F8E" w:rsidRPr="00104FAF" w:rsidRDefault="00000000">
      <w:pPr>
        <w:pStyle w:val="Ttulo2"/>
        <w:rPr>
          <w:lang w:val="es-CO"/>
        </w:rPr>
      </w:pPr>
      <w:r w:rsidRPr="00104FAF">
        <w:rPr>
          <w:lang w:val="es-CO"/>
        </w:rPr>
        <w:t>4. Indicadores calculables con la base existente</w:t>
      </w:r>
    </w:p>
    <w:p w14:paraId="5C074F2B" w14:textId="77777777" w:rsidR="00572F8E" w:rsidRPr="00104FAF" w:rsidRDefault="00000000">
      <w:pPr>
        <w:rPr>
          <w:lang w:val="es-CO"/>
        </w:rPr>
      </w:pPr>
      <w:proofErr w:type="spellStart"/>
      <w:r w:rsidRPr="00104FAF">
        <w:rPr>
          <w:lang w:val="es-CO"/>
        </w:rPr>
        <w:t>TelemetryCoreSample</w:t>
      </w:r>
      <w:proofErr w:type="spellEnd"/>
      <w:r w:rsidRPr="00104FAF">
        <w:rPr>
          <w:lang w:val="es-CO"/>
        </w:rPr>
        <w:t xml:space="preserve"> permite derivar aceleración/frenado desde velocidad y tiempo, ralentí desde velocidad y RPM y demandas elevadas desde RPM/acelerador/carga del motor. </w:t>
      </w:r>
      <w:proofErr w:type="spellStart"/>
      <w:r w:rsidRPr="00104FAF">
        <w:rPr>
          <w:lang w:val="es-CO"/>
        </w:rPr>
        <w:t>GpsSample</w:t>
      </w:r>
      <w:proofErr w:type="spellEnd"/>
      <w:r w:rsidRPr="00104FAF">
        <w:rPr>
          <w:lang w:val="es-CO"/>
        </w:rPr>
        <w:t xml:space="preserve"> aporta posición, velocidad y rumbo; el rumbo permite detectar cambios de dirección, pero no sustituye directamente la aceleración lateral. </w:t>
      </w:r>
      <w:proofErr w:type="spellStart"/>
      <w:r w:rsidRPr="00104FAF">
        <w:rPr>
          <w:lang w:val="es-CO"/>
        </w:rPr>
        <w:t>VehicleEvent</w:t>
      </w:r>
      <w:proofErr w:type="spellEnd"/>
      <w:r w:rsidRPr="00104FAF">
        <w:rPr>
          <w:lang w:val="es-CO"/>
        </w:rPr>
        <w:t xml:space="preserve"> registra los eventos y </w:t>
      </w:r>
      <w:proofErr w:type="spellStart"/>
      <w:r w:rsidRPr="00104FAF">
        <w:rPr>
          <w:lang w:val="es-CO"/>
        </w:rPr>
        <w:t>TripSummary</w:t>
      </w:r>
      <w:proofErr w:type="spellEnd"/>
      <w:r w:rsidRPr="00104FAF">
        <w:rPr>
          <w:lang w:val="es-CO"/>
        </w:rPr>
        <w:t xml:space="preserve"> consolida </w:t>
      </w:r>
      <w:proofErr w:type="spellStart"/>
      <w:r w:rsidRPr="00104FAF">
        <w:rPr>
          <w:lang w:val="es-CO"/>
        </w:rPr>
        <w:t>KPIs</w:t>
      </w:r>
      <w:proofErr w:type="spellEnd"/>
      <w:r w:rsidRPr="00104FAF">
        <w:rPr>
          <w:lang w:val="es-CO"/>
        </w:rPr>
        <w:t xml:space="preserve"> [1], [2]. El exceso de velocidad requiere contar además con límites viales.</w:t>
      </w:r>
    </w:p>
    <w:p w14:paraId="1F750B33" w14:textId="77777777" w:rsidR="00572F8E" w:rsidRPr="00104FAF" w:rsidRDefault="00000000">
      <w:pPr>
        <w:pStyle w:val="Ttulo2"/>
        <w:rPr>
          <w:lang w:val="es-CO"/>
        </w:rPr>
      </w:pPr>
      <w:r w:rsidRPr="00104FAF">
        <w:rPr>
          <w:lang w:val="es-CO"/>
        </w:rPr>
        <w:t>5. Relación con accidentalidad</w:t>
      </w:r>
    </w:p>
    <w:p w14:paraId="683B708D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 xml:space="preserve">La OMS señala que un aumento del 1 % de la velocidad media se asocia aproximadamente con un aumento del 4 % en el riesgo de colisión mortal [6]. En un estudio de siete flotas comerciales, Wouters y Bos estimaron una reducción promedio cercana al 20 % de accidentes mediante registradores a bordo y retroalimentación al conductor [7]. Se trata de evidencia externa contextual, no de resultados medidos ni garantizados por </w:t>
      </w: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>.</w:t>
      </w:r>
    </w:p>
    <w:p w14:paraId="4B59C6EF" w14:textId="77777777" w:rsidR="00572F8E" w:rsidRPr="00104FAF" w:rsidRDefault="00000000">
      <w:pPr>
        <w:pStyle w:val="Ttulo2"/>
        <w:rPr>
          <w:lang w:val="es-CO"/>
        </w:rPr>
      </w:pPr>
      <w:r w:rsidRPr="00104FAF">
        <w:rPr>
          <w:lang w:val="es-CO"/>
        </w:rPr>
        <w:t>6. Seguros telemáticos</w:t>
      </w:r>
    </w:p>
    <w:p w14:paraId="4E31A660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 xml:space="preserve">El seguro basado en uso (UBI) puede utilizar kilometraje, horarios y patrones de conducción para ajustar la evaluación del riesgo [8]. En Colombia, Chevrolet </w:t>
      </w:r>
      <w:proofErr w:type="spellStart"/>
      <w:r w:rsidRPr="00104FAF">
        <w:rPr>
          <w:lang w:val="es-CO"/>
        </w:rPr>
        <w:t>OnStar</w:t>
      </w:r>
      <w:proofErr w:type="spellEnd"/>
      <w:r w:rsidRPr="00104FAF">
        <w:rPr>
          <w:lang w:val="es-CO"/>
        </w:rPr>
        <w:t xml:space="preserve"> Negocios publica un convenio que anuncia 10 % de descuento en pólizas GMF [9]. Ese beneficio pertenece a una oferta comercial concreta: no implica que </w:t>
      </w: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 xml:space="preserve"> pueda obtener automáticamente dicho descuento para sus clientes.</w:t>
      </w:r>
    </w:p>
    <w:p w14:paraId="61C88BC3" w14:textId="77777777" w:rsidR="00572F8E" w:rsidRPr="00104FAF" w:rsidRDefault="00000000">
      <w:pPr>
        <w:pStyle w:val="Ttulo2"/>
        <w:rPr>
          <w:lang w:val="es-CO"/>
        </w:rPr>
      </w:pPr>
      <w:r w:rsidRPr="00104FAF">
        <w:rPr>
          <w:lang w:val="es-CO"/>
        </w:rPr>
        <w:lastRenderedPageBreak/>
        <w:t>7. PESV en Colombia: diapositiva 3</w:t>
      </w:r>
    </w:p>
    <w:p w14:paraId="65A69E57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 xml:space="preserve">La Resolución 20223040040595 de 2022 regula la metodología del PESV e incluye identificación de riesgos, gestión de velocidad, seguimiento, formación y evaluación según las características de la organización [10]. </w:t>
      </w: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 xml:space="preserve"> puede apoyar el registro de conductores, monitoreo de flota propia o tercerizada, detección de excesos y reportes de incidentes. No sustituye el cumplimiento del PESV ni la norma fija, por sí misma, una frecuencia universal de telemetría para todos esos eventos.</w:t>
      </w:r>
    </w:p>
    <w:p w14:paraId="44155C07" w14:textId="77777777" w:rsidR="00572F8E" w:rsidRPr="00104FAF" w:rsidRDefault="00000000">
      <w:pPr>
        <w:pStyle w:val="Ttulo1"/>
        <w:rPr>
          <w:lang w:val="es-CO"/>
        </w:rPr>
      </w:pPr>
      <w:r w:rsidRPr="00104FAF">
        <w:rPr>
          <w:lang w:val="es-CO"/>
        </w:rPr>
        <w:t>2. Para diapositivas</w:t>
      </w:r>
    </w:p>
    <w:p w14:paraId="02784C04" w14:textId="77777777" w:rsidR="00572F8E" w:rsidRPr="00104FAF" w:rsidRDefault="00000000">
      <w:pPr>
        <w:pStyle w:val="Ttulo2"/>
        <w:rPr>
          <w:lang w:val="es-CO"/>
        </w:rPr>
      </w:pPr>
      <w:r w:rsidRPr="00104FAF">
        <w:rPr>
          <w:lang w:val="es-CO"/>
        </w:rPr>
        <w:t>Diapositiva 4 — Indicadores, señales, frecuencia y umbrales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98"/>
        <w:gridCol w:w="2498"/>
        <w:gridCol w:w="2498"/>
        <w:gridCol w:w="2498"/>
      </w:tblGrid>
      <w:tr w:rsidR="00572F8E" w14:paraId="1858F71F" w14:textId="77777777">
        <w:trPr>
          <w:jc w:val="center"/>
        </w:trPr>
        <w:tc>
          <w:tcPr>
            <w:tcW w:w="2498" w:type="dxa"/>
          </w:tcPr>
          <w:p w14:paraId="5C08F644" w14:textId="77777777" w:rsidR="00572F8E" w:rsidRDefault="00000000">
            <w:pPr>
              <w:spacing w:after="20"/>
            </w:pPr>
            <w:proofErr w:type="spellStart"/>
            <w:r>
              <w:rPr>
                <w:b/>
                <w:sz w:val="17"/>
              </w:rPr>
              <w:t>Evento</w:t>
            </w:r>
            <w:proofErr w:type="spellEnd"/>
          </w:p>
        </w:tc>
        <w:tc>
          <w:tcPr>
            <w:tcW w:w="2498" w:type="dxa"/>
          </w:tcPr>
          <w:p w14:paraId="5EDC6D1D" w14:textId="77777777" w:rsidR="00572F8E" w:rsidRDefault="00000000">
            <w:pPr>
              <w:spacing w:after="20"/>
            </w:pPr>
            <w:r>
              <w:rPr>
                <w:b/>
                <w:sz w:val="17"/>
              </w:rPr>
              <w:t>Señal disponible / requerida</w:t>
            </w:r>
          </w:p>
        </w:tc>
        <w:tc>
          <w:tcPr>
            <w:tcW w:w="2498" w:type="dxa"/>
          </w:tcPr>
          <w:p w14:paraId="4952DD48" w14:textId="77777777" w:rsidR="00572F8E" w:rsidRDefault="00000000">
            <w:pPr>
              <w:spacing w:after="20"/>
            </w:pPr>
            <w:r>
              <w:rPr>
                <w:b/>
                <w:sz w:val="17"/>
              </w:rPr>
              <w:t>Muestreo</w:t>
            </w:r>
          </w:p>
        </w:tc>
        <w:tc>
          <w:tcPr>
            <w:tcW w:w="2498" w:type="dxa"/>
          </w:tcPr>
          <w:p w14:paraId="0AFFF4A4" w14:textId="77777777" w:rsidR="00572F8E" w:rsidRDefault="00000000">
            <w:pPr>
              <w:spacing w:after="20"/>
            </w:pPr>
            <w:r>
              <w:rPr>
                <w:b/>
                <w:sz w:val="17"/>
              </w:rPr>
              <w:t>Umbral inicial o criterio</w:t>
            </w:r>
          </w:p>
        </w:tc>
      </w:tr>
      <w:tr w:rsidR="00104FAF" w:rsidRPr="00104FAF" w14:paraId="0E1FECE8" w14:textId="77777777">
        <w:trPr>
          <w:jc w:val="center"/>
        </w:trPr>
        <w:tc>
          <w:tcPr>
            <w:tcW w:w="2498" w:type="dxa"/>
          </w:tcPr>
          <w:p w14:paraId="280D14F0" w14:textId="77777777" w:rsidR="00104FAF" w:rsidRDefault="00104FAF" w:rsidP="00104FAF">
            <w:pPr>
              <w:spacing w:after="20"/>
            </w:pPr>
            <w:proofErr w:type="spellStart"/>
            <w:r>
              <w:rPr>
                <w:sz w:val="17"/>
              </w:rPr>
              <w:t>Aceleración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brusca</w:t>
            </w:r>
            <w:proofErr w:type="spellEnd"/>
          </w:p>
        </w:tc>
        <w:tc>
          <w:tcPr>
            <w:tcW w:w="2498" w:type="dxa"/>
          </w:tcPr>
          <w:p w14:paraId="18E90944" w14:textId="44FE9CD9" w:rsidR="00104FAF" w:rsidRDefault="00104FAF" w:rsidP="00104FAF">
            <w:pPr>
              <w:spacing w:after="20"/>
            </w:pPr>
            <w:proofErr w:type="spellStart"/>
            <w:r>
              <w:rPr>
                <w:sz w:val="17"/>
              </w:rPr>
              <w:t>Velocidad</w:t>
            </w:r>
            <w:proofErr w:type="spellEnd"/>
            <w:r>
              <w:rPr>
                <w:sz w:val="17"/>
              </w:rPr>
              <w:t xml:space="preserve"> + </w:t>
            </w:r>
            <w:proofErr w:type="spellStart"/>
            <w:r>
              <w:rPr>
                <w:sz w:val="17"/>
              </w:rPr>
              <w:t>tiempo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acelerador</w:t>
            </w:r>
            <w:proofErr w:type="spellEnd"/>
            <w:r>
              <w:rPr>
                <w:sz w:val="17"/>
              </w:rPr>
              <w:t xml:space="preserve"> contextual</w:t>
            </w:r>
          </w:p>
        </w:tc>
        <w:tc>
          <w:tcPr>
            <w:tcW w:w="2498" w:type="dxa"/>
          </w:tcPr>
          <w:p w14:paraId="3F153385" w14:textId="35D8E53D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10 s actual; 1 s propuesto para simular</w:t>
            </w:r>
          </w:p>
        </w:tc>
        <w:tc>
          <w:tcPr>
            <w:tcW w:w="2498" w:type="dxa"/>
          </w:tcPr>
          <w:p w14:paraId="2B66498A" w14:textId="0A28FC58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Auto &gt;0,30 g; camión pesado &gt;0,20 g [3]</w:t>
            </w:r>
          </w:p>
        </w:tc>
      </w:tr>
      <w:tr w:rsidR="00104FAF" w:rsidRPr="00104FAF" w14:paraId="681B6175" w14:textId="77777777">
        <w:trPr>
          <w:jc w:val="center"/>
        </w:trPr>
        <w:tc>
          <w:tcPr>
            <w:tcW w:w="2498" w:type="dxa"/>
          </w:tcPr>
          <w:p w14:paraId="79D0357A" w14:textId="6D935F03" w:rsidR="00104FAF" w:rsidRPr="00104FAF" w:rsidRDefault="00104FAF" w:rsidP="00104FAF">
            <w:pPr>
              <w:spacing w:after="20"/>
              <w:rPr>
                <w:lang w:val="es-CO"/>
              </w:rPr>
            </w:pPr>
            <w:proofErr w:type="spellStart"/>
            <w:r>
              <w:rPr>
                <w:sz w:val="17"/>
              </w:rPr>
              <w:t>Frenado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brusco</w:t>
            </w:r>
            <w:proofErr w:type="spellEnd"/>
          </w:p>
        </w:tc>
        <w:tc>
          <w:tcPr>
            <w:tcW w:w="2498" w:type="dxa"/>
          </w:tcPr>
          <w:p w14:paraId="43A0882D" w14:textId="17288CD6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Velocidad + tiempo; señal de freno si existe</w:t>
            </w:r>
          </w:p>
        </w:tc>
        <w:tc>
          <w:tcPr>
            <w:tcW w:w="2498" w:type="dxa"/>
          </w:tcPr>
          <w:p w14:paraId="0094EDC2" w14:textId="44276AC1" w:rsidR="00104FAF" w:rsidRPr="00104FAF" w:rsidRDefault="00104FAF" w:rsidP="00104FAF">
            <w:pPr>
              <w:spacing w:after="20"/>
              <w:rPr>
                <w:lang w:val="es-CO"/>
              </w:rPr>
            </w:pPr>
            <w:r>
              <w:rPr>
                <w:sz w:val="17"/>
              </w:rPr>
              <w:t>10 s actual; 1 s propuesto</w:t>
            </w:r>
          </w:p>
        </w:tc>
        <w:tc>
          <w:tcPr>
            <w:tcW w:w="2498" w:type="dxa"/>
          </w:tcPr>
          <w:p w14:paraId="6C71E2EC" w14:textId="32EDC3BC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Auto &lt;−0,30 g; camión pesado &lt;−0,20 g [3]</w:t>
            </w:r>
          </w:p>
        </w:tc>
      </w:tr>
      <w:tr w:rsidR="00104FAF" w:rsidRPr="00104FAF" w14:paraId="0B8A3C75" w14:textId="77777777">
        <w:trPr>
          <w:jc w:val="center"/>
        </w:trPr>
        <w:tc>
          <w:tcPr>
            <w:tcW w:w="2498" w:type="dxa"/>
          </w:tcPr>
          <w:p w14:paraId="7D76B644" w14:textId="3B093E1A" w:rsidR="00104FAF" w:rsidRPr="00104FAF" w:rsidRDefault="00104FAF" w:rsidP="00104FAF">
            <w:pPr>
              <w:spacing w:after="20"/>
              <w:rPr>
                <w:lang w:val="es-CO"/>
              </w:rPr>
            </w:pPr>
            <w:r>
              <w:rPr>
                <w:sz w:val="17"/>
              </w:rPr>
              <w:t xml:space="preserve">Giro </w:t>
            </w:r>
            <w:proofErr w:type="spellStart"/>
            <w:r>
              <w:rPr>
                <w:sz w:val="17"/>
              </w:rPr>
              <w:t>brusco</w:t>
            </w:r>
            <w:proofErr w:type="spellEnd"/>
          </w:p>
        </w:tc>
        <w:tc>
          <w:tcPr>
            <w:tcW w:w="2498" w:type="dxa"/>
          </w:tcPr>
          <w:p w14:paraId="4E3B5D11" w14:textId="494D306B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GPS rumbo; IMU lateral recomendada</w:t>
            </w:r>
          </w:p>
        </w:tc>
        <w:tc>
          <w:tcPr>
            <w:tcW w:w="2498" w:type="dxa"/>
          </w:tcPr>
          <w:p w14:paraId="566E3382" w14:textId="0955BC4C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10 s insuficiente para eventos breves</w:t>
            </w:r>
          </w:p>
        </w:tc>
        <w:tc>
          <w:tcPr>
            <w:tcW w:w="2498" w:type="dxa"/>
          </w:tcPr>
          <w:p w14:paraId="5CBAF65D" w14:textId="23F40D88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Auto &gt;0,42 g; camión pesado &gt;0,24 g, medido como g lateral [3]</w:t>
            </w:r>
          </w:p>
        </w:tc>
      </w:tr>
      <w:tr w:rsidR="00104FAF" w:rsidRPr="00104FAF" w14:paraId="2F28CC1F" w14:textId="77777777">
        <w:trPr>
          <w:jc w:val="center"/>
        </w:trPr>
        <w:tc>
          <w:tcPr>
            <w:tcW w:w="2498" w:type="dxa"/>
          </w:tcPr>
          <w:p w14:paraId="513E12D8" w14:textId="6685457F" w:rsidR="00104FAF" w:rsidRPr="00104FAF" w:rsidRDefault="00104FAF" w:rsidP="00104FAF">
            <w:pPr>
              <w:spacing w:after="20"/>
              <w:rPr>
                <w:lang w:val="es-CO"/>
              </w:rPr>
            </w:pPr>
            <w:proofErr w:type="spellStart"/>
            <w:r>
              <w:rPr>
                <w:sz w:val="17"/>
              </w:rPr>
              <w:t>Exceso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velocidad</w:t>
            </w:r>
            <w:proofErr w:type="spellEnd"/>
          </w:p>
        </w:tc>
        <w:tc>
          <w:tcPr>
            <w:tcW w:w="2498" w:type="dxa"/>
          </w:tcPr>
          <w:p w14:paraId="5565C71A" w14:textId="242B531A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Velocidad GPS + límite de vía</w:t>
            </w:r>
          </w:p>
        </w:tc>
        <w:tc>
          <w:tcPr>
            <w:tcW w:w="2498" w:type="dxa"/>
          </w:tcPr>
          <w:p w14:paraId="3C941A18" w14:textId="6BC851CC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Duración observable requiere mayor frecuencia</w:t>
            </w:r>
          </w:p>
        </w:tc>
        <w:tc>
          <w:tcPr>
            <w:tcW w:w="2498" w:type="dxa"/>
          </w:tcPr>
          <w:p w14:paraId="18B9E8E8" w14:textId="090B7103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 xml:space="preserve">Límite legal local; referencia </w:t>
            </w:r>
            <w:proofErr w:type="spellStart"/>
            <w:r w:rsidRPr="00104FAF">
              <w:rPr>
                <w:sz w:val="17"/>
                <w:lang w:val="es-CO"/>
              </w:rPr>
              <w:t>Geotab</w:t>
            </w:r>
            <w:proofErr w:type="spellEnd"/>
            <w:r w:rsidRPr="00104FAF">
              <w:rPr>
                <w:sz w:val="17"/>
                <w:lang w:val="es-CO"/>
              </w:rPr>
              <w:t>: &gt;20 % por &gt;5 s [3]</w:t>
            </w:r>
          </w:p>
        </w:tc>
      </w:tr>
      <w:tr w:rsidR="00104FAF" w:rsidRPr="00104FAF" w14:paraId="34AD132C" w14:textId="77777777">
        <w:trPr>
          <w:jc w:val="center"/>
        </w:trPr>
        <w:tc>
          <w:tcPr>
            <w:tcW w:w="2498" w:type="dxa"/>
          </w:tcPr>
          <w:p w14:paraId="4B2B91CF" w14:textId="653184F6" w:rsidR="00104FAF" w:rsidRPr="00104FAF" w:rsidRDefault="00104FAF" w:rsidP="00104FAF">
            <w:pPr>
              <w:spacing w:after="20"/>
              <w:rPr>
                <w:lang w:val="es-CO"/>
              </w:rPr>
            </w:pPr>
            <w:proofErr w:type="spellStart"/>
            <w:r>
              <w:rPr>
                <w:sz w:val="17"/>
              </w:rPr>
              <w:t>Ralentí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excesivo</w:t>
            </w:r>
            <w:proofErr w:type="spellEnd"/>
          </w:p>
        </w:tc>
        <w:tc>
          <w:tcPr>
            <w:tcW w:w="2498" w:type="dxa"/>
          </w:tcPr>
          <w:p w14:paraId="61859627" w14:textId="5A323C81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RPM + velocidad cercana a cero</w:t>
            </w:r>
          </w:p>
        </w:tc>
        <w:tc>
          <w:tcPr>
            <w:tcW w:w="2498" w:type="dxa"/>
          </w:tcPr>
          <w:p w14:paraId="5CDE3BD8" w14:textId="6B8F0421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10 s para acumulación; duración configurable</w:t>
            </w:r>
          </w:p>
        </w:tc>
        <w:tc>
          <w:tcPr>
            <w:tcW w:w="2498" w:type="dxa"/>
          </w:tcPr>
          <w:p w14:paraId="54AAB9F7" w14:textId="5F394907" w:rsidR="00104FAF" w:rsidRPr="00104FAF" w:rsidRDefault="00104FAF" w:rsidP="00104FAF">
            <w:pPr>
              <w:spacing w:after="20"/>
              <w:rPr>
                <w:lang w:val="es-CO"/>
              </w:rPr>
            </w:pPr>
            <w:r w:rsidRPr="00104FAF">
              <w:rPr>
                <w:sz w:val="17"/>
                <w:lang w:val="es-CO"/>
              </w:rPr>
              <w:t>Tiempo mínimo por definir según operación; no se fija como norma</w:t>
            </w:r>
          </w:p>
        </w:tc>
      </w:tr>
    </w:tbl>
    <w:p w14:paraId="2942059A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 xml:space="preserve">Nota de coherencia con la diapositiva 4: los 10 </w:t>
      </w:r>
      <w:proofErr w:type="spellStart"/>
      <w:r w:rsidRPr="00104FAF">
        <w:rPr>
          <w:lang w:val="es-CO"/>
        </w:rPr>
        <w:t>s</w:t>
      </w:r>
      <w:proofErr w:type="spellEnd"/>
      <w:r w:rsidRPr="00104FAF">
        <w:rPr>
          <w:lang w:val="es-CO"/>
        </w:rPr>
        <w:t xml:space="preserve"> describen el muestreo actualmente definido, pero no determinan los umbrales. Una secuencia de 10 </w:t>
      </w:r>
      <w:proofErr w:type="spellStart"/>
      <w:r w:rsidRPr="00104FAF">
        <w:rPr>
          <w:lang w:val="es-CO"/>
        </w:rPr>
        <w:t>s</w:t>
      </w:r>
      <w:proofErr w:type="spellEnd"/>
      <w:r w:rsidRPr="00104FAF">
        <w:rPr>
          <w:lang w:val="es-CO"/>
        </w:rPr>
        <w:t xml:space="preserve"> puede ocultar una frenada o curva de 1–2 s. Se recomienda simular dinámica al menos a 1 Hz para detectar eventos y conservar, si conviene, resúmenes o muestras cada 10 s [2]. Las unidades «g» se refieren a aceleración (1 g ≈ 9,81 m/s²), no a grados por segundo.</w:t>
      </w:r>
    </w:p>
    <w:p w14:paraId="64DD9E6A" w14:textId="77777777" w:rsidR="00572F8E" w:rsidRPr="00104FAF" w:rsidRDefault="00000000">
      <w:pPr>
        <w:pStyle w:val="Ttulo2"/>
        <w:rPr>
          <w:lang w:val="es-CO"/>
        </w:rPr>
      </w:pPr>
      <w:r w:rsidRPr="00104FAF">
        <w:rPr>
          <w:lang w:val="es-CO"/>
        </w:rPr>
        <w:t>Diapositiva 3 — Confort, PESV y argumento de valor</w:t>
      </w:r>
    </w:p>
    <w:p w14:paraId="25132E90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>Confort: vibración vertical y lateral e intensidad de cambios de aceleración (</w:t>
      </w:r>
      <w:proofErr w:type="spellStart"/>
      <w:r w:rsidRPr="00104FAF">
        <w:rPr>
          <w:lang w:val="es-CO"/>
        </w:rPr>
        <w:t>jerk</w:t>
      </w:r>
      <w:proofErr w:type="spellEnd"/>
      <w:r w:rsidRPr="00104FAF">
        <w:rPr>
          <w:lang w:val="es-CO"/>
        </w:rPr>
        <w:t xml:space="preserve">); la instrumentación IMU es necesaria para una evaluación física de vibración conforme al enfoque ISO 2631-1 [4]. PESV: </w:t>
      </w: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 xml:space="preserve"> suministra trazabilidad de eventos, velocidad, conductor y vehículo y reportes útiles para apoyar la gestión de riesgos exigida por la Resolución 20223040040595 [10].</w:t>
      </w:r>
    </w:p>
    <w:p w14:paraId="6BEE0CEC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 xml:space="preserve">Argumento de valor: la investigación de Wouters y Bos reportó una reducción media de accidentes de aproximadamente 20 % en flotas con registradores y retroalimentación [7]; por separado, existe una oferta colombiana específica de </w:t>
      </w:r>
      <w:proofErr w:type="spellStart"/>
      <w:r w:rsidRPr="00104FAF">
        <w:rPr>
          <w:lang w:val="es-CO"/>
        </w:rPr>
        <w:t>OnStar</w:t>
      </w:r>
      <w:proofErr w:type="spellEnd"/>
      <w:r w:rsidRPr="00104FAF">
        <w:rPr>
          <w:lang w:val="es-CO"/>
        </w:rPr>
        <w:t xml:space="preserve"> Negocios que anuncia 10 % de descuento en pólizas GMF [9]. Estas cifras describen experiencias y ofertas de terceros, no efectos demostrados de </w:t>
      </w:r>
      <w:proofErr w:type="spellStart"/>
      <w:r w:rsidRPr="00104FAF">
        <w:rPr>
          <w:lang w:val="es-CO"/>
        </w:rPr>
        <w:t>ViaCero</w:t>
      </w:r>
      <w:proofErr w:type="spellEnd"/>
      <w:r w:rsidRPr="00104FAF">
        <w:rPr>
          <w:lang w:val="es-CO"/>
        </w:rPr>
        <w:t>. El valor defendible de la plataforma es aportar evidencia telemática para intervenir conductas de riesgo, gestionar el PESV y sustentar conversaciones con aseguradoras.</w:t>
      </w:r>
    </w:p>
    <w:p w14:paraId="2672A5EF" w14:textId="77777777" w:rsidR="00572F8E" w:rsidRPr="00104FAF" w:rsidRDefault="00000000">
      <w:pPr>
        <w:pStyle w:val="Ttulo1"/>
        <w:rPr>
          <w:lang w:val="es-CO"/>
        </w:rPr>
      </w:pPr>
      <w:r w:rsidRPr="00104FAF">
        <w:rPr>
          <w:lang w:val="es-CO"/>
        </w:rPr>
        <w:t>3. Aplicación directa en PostgreSQL</w:t>
      </w:r>
    </w:p>
    <w:p w14:paraId="17548064" w14:textId="77777777" w:rsidR="00572F8E" w:rsidRPr="00104FAF" w:rsidRDefault="00000000">
      <w:pPr>
        <w:rPr>
          <w:lang w:val="es-CO"/>
        </w:rPr>
      </w:pPr>
      <w:r w:rsidRPr="00104FAF">
        <w:rPr>
          <w:lang w:val="es-CO"/>
        </w:rPr>
        <w:t xml:space="preserve">El generador debe simular velocidad y maniobras coherentes, aplicar límites por tipo de vehículo, insertar HARSH_ACCELERATION, HARSH_BRAKING, HARSH_CORNERING, OVERSPEED y EXCESSIVE_IDLE en </w:t>
      </w:r>
      <w:proofErr w:type="spellStart"/>
      <w:r w:rsidRPr="00104FAF">
        <w:rPr>
          <w:lang w:val="es-CO"/>
        </w:rPr>
        <w:t>VehicleEvent</w:t>
      </w:r>
      <w:proofErr w:type="spellEnd"/>
      <w:r w:rsidRPr="00104FAF">
        <w:rPr>
          <w:lang w:val="es-CO"/>
        </w:rPr>
        <w:t xml:space="preserve"> y consolidar eventos por 100 km en una vista </w:t>
      </w:r>
      <w:proofErr w:type="spellStart"/>
      <w:r w:rsidRPr="00104FAF">
        <w:rPr>
          <w:lang w:val="es-CO"/>
        </w:rPr>
        <w:t>v_seguridad_conductor</w:t>
      </w:r>
      <w:proofErr w:type="spellEnd"/>
      <w:r w:rsidRPr="00104FAF">
        <w:rPr>
          <w:lang w:val="es-CO"/>
        </w:rPr>
        <w:t xml:space="preserve">. </w:t>
      </w:r>
      <w:proofErr w:type="spellStart"/>
      <w:r w:rsidRPr="00104FAF">
        <w:rPr>
          <w:lang w:val="es-CO"/>
        </w:rPr>
        <w:t>TripSummary</w:t>
      </w:r>
      <w:proofErr w:type="spellEnd"/>
      <w:r w:rsidRPr="00104FAF">
        <w:rPr>
          <w:lang w:val="es-CO"/>
        </w:rPr>
        <w:t xml:space="preserve"> mantiene los agregados por viaje [1], [2]. No se deben simular porcentajes de reducción de siniestros ni descuentos como resultados observados. La fórmula de puntuación, el tiempo de ralentí excesivo y la frecuencia óptima quedan como decisiones pendientes de validación.</w:t>
      </w:r>
    </w:p>
    <w:p w14:paraId="1FCE4982" w14:textId="77777777" w:rsidR="00572F8E" w:rsidRPr="00104FAF" w:rsidRDefault="00000000">
      <w:pPr>
        <w:pStyle w:val="Ttulo1"/>
        <w:rPr>
          <w:lang w:val="es-CO"/>
        </w:rPr>
      </w:pPr>
      <w:r w:rsidRPr="00104FAF">
        <w:rPr>
          <w:lang w:val="es-CO"/>
        </w:rPr>
        <w:t>Referencias (IEEE, formato abreviado)</w:t>
      </w:r>
    </w:p>
    <w:p w14:paraId="47E6B726" w14:textId="77777777" w:rsidR="00572F8E" w:rsidRPr="00104FAF" w:rsidRDefault="00000000">
      <w:pPr>
        <w:spacing w:after="40"/>
        <w:rPr>
          <w:lang w:val="es-CO"/>
        </w:rPr>
      </w:pPr>
      <w:r w:rsidRPr="00104FAF">
        <w:rPr>
          <w:sz w:val="18"/>
          <w:lang w:val="es-CO"/>
        </w:rPr>
        <w:t xml:space="preserve">[1] Equipo </w:t>
      </w:r>
      <w:proofErr w:type="spellStart"/>
      <w:r w:rsidRPr="00104FAF">
        <w:rPr>
          <w:sz w:val="18"/>
          <w:lang w:val="es-CO"/>
        </w:rPr>
        <w:t>ViaCero</w:t>
      </w:r>
      <w:proofErr w:type="spellEnd"/>
      <w:r w:rsidRPr="00104FAF">
        <w:rPr>
          <w:sz w:val="18"/>
          <w:lang w:val="es-CO"/>
        </w:rPr>
        <w:t>, «Esquema de variables y base de datos», documentación interna, 2026.</w:t>
      </w:r>
    </w:p>
    <w:p w14:paraId="790D0C1C" w14:textId="77777777" w:rsidR="00572F8E" w:rsidRPr="00104FAF" w:rsidRDefault="00000000">
      <w:pPr>
        <w:spacing w:after="40"/>
        <w:rPr>
          <w:lang w:val="es-CO"/>
        </w:rPr>
      </w:pPr>
      <w:r w:rsidRPr="00104FAF">
        <w:rPr>
          <w:sz w:val="18"/>
          <w:lang w:val="es-CO"/>
        </w:rPr>
        <w:t xml:space="preserve">[2] Equipo </w:t>
      </w:r>
      <w:proofErr w:type="spellStart"/>
      <w:r w:rsidRPr="00104FAF">
        <w:rPr>
          <w:sz w:val="18"/>
          <w:lang w:val="es-CO"/>
        </w:rPr>
        <w:t>ViaCero</w:t>
      </w:r>
      <w:proofErr w:type="spellEnd"/>
      <w:r w:rsidRPr="00104FAF">
        <w:rPr>
          <w:sz w:val="18"/>
          <w:lang w:val="es-CO"/>
        </w:rPr>
        <w:t>, «</w:t>
      </w:r>
      <w:proofErr w:type="spellStart"/>
      <w:r w:rsidRPr="00104FAF">
        <w:rPr>
          <w:sz w:val="18"/>
          <w:lang w:val="es-CO"/>
        </w:rPr>
        <w:t>ViaCero</w:t>
      </w:r>
      <w:proofErr w:type="spellEnd"/>
      <w:r w:rsidRPr="00104FAF">
        <w:rPr>
          <w:sz w:val="18"/>
          <w:lang w:val="es-CO"/>
        </w:rPr>
        <w:t xml:space="preserve"> — Tarea de consultas para el equipo», 4 oct. 2026.</w:t>
      </w:r>
    </w:p>
    <w:p w14:paraId="0496902D" w14:textId="77777777" w:rsidR="00572F8E" w:rsidRDefault="00000000">
      <w:pPr>
        <w:spacing w:after="40"/>
      </w:pPr>
      <w:r>
        <w:rPr>
          <w:sz w:val="18"/>
        </w:rPr>
        <w:lastRenderedPageBreak/>
        <w:t xml:space="preserve">[3] </w:t>
      </w:r>
      <w:proofErr w:type="gramStart"/>
      <w:r>
        <w:rPr>
          <w:sz w:val="18"/>
        </w:rPr>
        <w:t>Geotab, «</w:t>
      </w:r>
      <w:proofErr w:type="gramEnd"/>
      <w:r>
        <w:rPr>
          <w:sz w:val="18"/>
        </w:rPr>
        <w:t xml:space="preserve">Rules </w:t>
      </w:r>
      <w:proofErr w:type="gramStart"/>
      <w:r>
        <w:rPr>
          <w:sz w:val="18"/>
        </w:rPr>
        <w:t>overview»,</w:t>
      </w:r>
      <w:proofErr w:type="gramEnd"/>
      <w:r>
        <w:rPr>
          <w:sz w:val="18"/>
        </w:rPr>
        <w:t xml:space="preserve"> Geotab Support Center. https://support.geotab.com/help/mygeotab/groups-and-rules/rules/rules-overview (consulta: 06/10/2026).</w:t>
      </w:r>
    </w:p>
    <w:p w14:paraId="1F25C785" w14:textId="77777777" w:rsidR="00572F8E" w:rsidRDefault="00000000">
      <w:pPr>
        <w:spacing w:after="40"/>
      </w:pPr>
      <w:r>
        <w:rPr>
          <w:sz w:val="18"/>
        </w:rPr>
        <w:t>[4] ISO, ISO 2631-1:1997, «Mechanical vibration and shock — Evaluation of human exposure to whole-body vibration — Part 1». https://www.iso.org/standard/7612.html</w:t>
      </w:r>
    </w:p>
    <w:p w14:paraId="07640380" w14:textId="77777777" w:rsidR="00572F8E" w:rsidRDefault="00000000">
      <w:pPr>
        <w:spacing w:after="40"/>
      </w:pPr>
      <w:r>
        <w:rPr>
          <w:sz w:val="18"/>
        </w:rPr>
        <w:t>[5] Progressive, «Snapshot Privacy Statement». https://www.progressive.com/es/support/legal/snapshot-privacy-statement/</w:t>
      </w:r>
    </w:p>
    <w:p w14:paraId="22E6F23C" w14:textId="77777777" w:rsidR="00572F8E" w:rsidRPr="00104FAF" w:rsidRDefault="00000000">
      <w:pPr>
        <w:spacing w:after="40"/>
        <w:rPr>
          <w:lang w:val="es-CO"/>
        </w:rPr>
      </w:pPr>
      <w:r w:rsidRPr="00104FAF">
        <w:rPr>
          <w:sz w:val="18"/>
          <w:lang w:val="es-CO"/>
        </w:rPr>
        <w:t>[6] OMS, «Traumatismos causados por el tránsito». https://www.who.int/es/news-room/fact-sheets/detail/road-traffic-injuries</w:t>
      </w:r>
    </w:p>
    <w:p w14:paraId="10E7AC22" w14:textId="77777777" w:rsidR="00572F8E" w:rsidRDefault="00000000">
      <w:pPr>
        <w:spacing w:after="40"/>
      </w:pPr>
      <w:r>
        <w:rPr>
          <w:sz w:val="18"/>
        </w:rPr>
        <w:t xml:space="preserve">[7] P. I. J. Wouters y J. M. J. Bos, «Traffic accident reduction by monitoring driver behaviour with in-car data recorders», Accident Analysis &amp; Prevention, vol. 32, </w:t>
      </w:r>
      <w:proofErr w:type="gramStart"/>
      <w:r>
        <w:rPr>
          <w:sz w:val="18"/>
        </w:rPr>
        <w:t>n.º</w:t>
      </w:r>
      <w:proofErr w:type="gramEnd"/>
      <w:r>
        <w:rPr>
          <w:sz w:val="18"/>
        </w:rPr>
        <w:t xml:space="preserve"> 5, pp. 643–650, 2000. doi:10.1016/S0001-4575(99)00095-0.</w:t>
      </w:r>
    </w:p>
    <w:p w14:paraId="22C36101" w14:textId="77777777" w:rsidR="00572F8E" w:rsidRPr="00104FAF" w:rsidRDefault="00000000">
      <w:pPr>
        <w:spacing w:after="40"/>
        <w:rPr>
          <w:lang w:val="es-CO"/>
        </w:rPr>
      </w:pPr>
      <w:r w:rsidRPr="00104FAF">
        <w:rPr>
          <w:sz w:val="18"/>
          <w:lang w:val="es-CO"/>
        </w:rPr>
        <w:t xml:space="preserve">[8] Fundación MAPFRE, «UBI (Usage </w:t>
      </w:r>
      <w:proofErr w:type="spellStart"/>
      <w:r w:rsidRPr="00104FAF">
        <w:rPr>
          <w:sz w:val="18"/>
          <w:lang w:val="es-CO"/>
        </w:rPr>
        <w:t>Based</w:t>
      </w:r>
      <w:proofErr w:type="spellEnd"/>
      <w:r w:rsidRPr="00104FAF">
        <w:rPr>
          <w:sz w:val="18"/>
          <w:lang w:val="es-CO"/>
        </w:rPr>
        <w:t xml:space="preserve"> </w:t>
      </w:r>
      <w:proofErr w:type="spellStart"/>
      <w:r w:rsidRPr="00104FAF">
        <w:rPr>
          <w:sz w:val="18"/>
          <w:lang w:val="es-CO"/>
        </w:rPr>
        <w:t>Insurance</w:t>
      </w:r>
      <w:proofErr w:type="spellEnd"/>
      <w:r w:rsidRPr="00104FAF">
        <w:rPr>
          <w:sz w:val="18"/>
          <w:lang w:val="es-CO"/>
        </w:rPr>
        <w:t>)», Diccionario MAPFRE de Seguros. https://www.fundacionmapfre.org/publicaciones/diccionario-mapfre-seguros/ubi/</w:t>
      </w:r>
    </w:p>
    <w:p w14:paraId="3C6D363C" w14:textId="77777777" w:rsidR="00572F8E" w:rsidRPr="00104FAF" w:rsidRDefault="00000000">
      <w:pPr>
        <w:spacing w:after="40"/>
        <w:rPr>
          <w:lang w:val="es-CO"/>
        </w:rPr>
      </w:pPr>
      <w:r w:rsidRPr="00104FAF">
        <w:rPr>
          <w:sz w:val="18"/>
          <w:lang w:val="es-CO"/>
        </w:rPr>
        <w:t>[9] Chevrolet Colombia, «</w:t>
      </w:r>
      <w:proofErr w:type="spellStart"/>
      <w:r w:rsidRPr="00104FAF">
        <w:rPr>
          <w:sz w:val="18"/>
          <w:lang w:val="es-CO"/>
        </w:rPr>
        <w:t>OnStar</w:t>
      </w:r>
      <w:proofErr w:type="spellEnd"/>
      <w:r w:rsidRPr="00104FAF">
        <w:rPr>
          <w:sz w:val="18"/>
          <w:lang w:val="es-CO"/>
        </w:rPr>
        <w:t xml:space="preserve"> Negocios». https://www.chevrolet.com.co/onstar/negocios</w:t>
      </w:r>
    </w:p>
    <w:p w14:paraId="44C67197" w14:textId="77777777" w:rsidR="00572F8E" w:rsidRPr="00104FAF" w:rsidRDefault="00000000">
      <w:pPr>
        <w:spacing w:after="40"/>
        <w:rPr>
          <w:lang w:val="es-CO"/>
        </w:rPr>
      </w:pPr>
      <w:r w:rsidRPr="00104FAF">
        <w:rPr>
          <w:sz w:val="18"/>
          <w:lang w:val="es-CO"/>
        </w:rPr>
        <w:t>[10] Ministerio de Transporte de Colombia, Resolución 20223040040595 de 2022. https://cancilleria.gov.co/normograma/compilacion/docs/resolucion_mintransporte_40595_2022.htm</w:t>
      </w:r>
    </w:p>
    <w:sectPr w:rsidR="00572F8E" w:rsidRPr="00104FAF" w:rsidSect="00034616">
      <w:pgSz w:w="12240" w:h="15840"/>
      <w:pgMar w:top="1080" w:right="1123" w:bottom="1080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563505">
    <w:abstractNumId w:val="8"/>
  </w:num>
  <w:num w:numId="2" w16cid:durableId="456947487">
    <w:abstractNumId w:val="6"/>
  </w:num>
  <w:num w:numId="3" w16cid:durableId="332800090">
    <w:abstractNumId w:val="5"/>
  </w:num>
  <w:num w:numId="4" w16cid:durableId="1287347658">
    <w:abstractNumId w:val="4"/>
  </w:num>
  <w:num w:numId="5" w16cid:durableId="111631277">
    <w:abstractNumId w:val="7"/>
  </w:num>
  <w:num w:numId="6" w16cid:durableId="726418290">
    <w:abstractNumId w:val="3"/>
  </w:num>
  <w:num w:numId="7" w16cid:durableId="1228682616">
    <w:abstractNumId w:val="2"/>
  </w:num>
  <w:num w:numId="8" w16cid:durableId="1121807174">
    <w:abstractNumId w:val="1"/>
  </w:num>
  <w:num w:numId="9" w16cid:durableId="500319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4FAF"/>
    <w:rsid w:val="0015074B"/>
    <w:rsid w:val="0029639D"/>
    <w:rsid w:val="00326F90"/>
    <w:rsid w:val="003560B7"/>
    <w:rsid w:val="00572F8E"/>
    <w:rsid w:val="00AA1D8D"/>
    <w:rsid w:val="00B47730"/>
    <w:rsid w:val="00C530F0"/>
    <w:rsid w:val="00C8134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176CD3"/>
  <w14:defaultImageDpi w14:val="300"/>
  <w15:docId w15:val="{64FA8716-7E83-4DB5-A837-919E7B75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200" w:after="8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1276</Words>
  <Characters>7024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G�MEZ RESTREPO JOSTIN ALEJANDRO</cp:lastModifiedBy>
  <cp:revision>2</cp:revision>
  <dcterms:created xsi:type="dcterms:W3CDTF">2013-12-23T23:15:00Z</dcterms:created>
  <dcterms:modified xsi:type="dcterms:W3CDTF">2026-10-07T05:36:00Z</dcterms:modified>
  <cp:category/>
</cp:coreProperties>
</file>